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点击此处添加ICS号</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52"/>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CNS"/>
                          <w:maxLength w:val="7"/>
                        </w:textInput>
                      </w:ffData>
                    </w:fldChar>
                  </w:r>
                  <w:bookmarkStart w:id="1" w:name="c1"/>
                  <w:r>
                    <w:instrText xml:space="preserve"> FORMTEXT </w:instrText>
                  </w:r>
                  <w:r>
                    <w:fldChar w:fldCharType="separate"/>
                  </w:r>
                  <w:r>
                    <w:t>CNS</w:t>
                  </w:r>
                  <w:r>
                    <w:fldChar w:fldCharType="end"/>
                  </w:r>
                  <w:bookmarkEnd w:id="1"/>
                </w:p>
              </w:tc>
            </w:tr>
          </w:tbl>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2"/>
          </w:p>
        </w:tc>
      </w:tr>
    </w:tbl>
    <w:p>
      <w:pPr>
        <w:pStyle w:val="53"/>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中国核学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中国核学会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8"/>
        <w:framePr/>
      </w:pPr>
      <w:r>
        <w:t>T/</w:t>
      </w:r>
      <w:r>
        <w:fldChar w:fldCharType="begin">
          <w:ffData>
            <w:name w:val="STANDAR_TYPE"/>
            <w:enabled/>
            <w:calcOnExit w:val="0"/>
            <w:textInput>
              <w:default w:val="XXX"/>
            </w:textInput>
          </w:ffData>
        </w:fldChar>
      </w:r>
      <w:bookmarkStart w:id="5" w:name="STANDAR_TYPE"/>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pPr>
        <w:pStyle w:val="199"/>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">
                <v:fill on="f" focussize="0,0"/>
                <v:stroke color="#000000" joinstyle="round"/>
                <v:imagedata o:title=""/>
                <o:lock v:ext="edit" aspectratio="f"/>
              </v:line>
            </w:pict>
          </mc:Fallback>
        </mc:AlternateContent>
      </w:r>
    </w:p>
    <w:p>
      <w:pPr>
        <w:pStyle w:val="53"/>
        <w:framePr w:w="9639" w:h="6976" w:hRule="exact" w:hSpace="0" w:vSpace="0" w:wrap="around" w:hAnchor="page" w:y="6408"/>
        <w:jc w:val="center"/>
        <w:rPr>
          <w:rFonts w:ascii="黑体" w:hAnsi="黑体" w:eastAsia="黑体"/>
          <w:b w:val="0"/>
          <w:bCs w:val="0"/>
          <w:w w:val="100"/>
        </w:rPr>
      </w:pPr>
    </w:p>
    <w:p>
      <w:pPr>
        <w:pStyle w:val="20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压水堆核电厂用空冷汽轮机长叶片</w:t>
      </w:r>
    </w:p>
    <w:p>
      <w:pPr>
        <w:pStyle w:val="200"/>
        <w:framePr w:h="6974" w:hRule="exact" w:wrap="around" w:x="1419" w:anchorLock="1"/>
      </w:pPr>
      <w:r>
        <w:rPr>
          <w:rFonts w:hint="eastAsia"/>
        </w:rPr>
        <w:t>试验和验证方法</w:t>
      </w:r>
      <w:r>
        <w:fldChar w:fldCharType="end"/>
      </w:r>
      <w:bookmarkEnd w:id="9"/>
    </w:p>
    <w:p>
      <w:pPr>
        <w:framePr w:w="9639" w:h="6974" w:hRule="exact" w:wrap="around" w:vAnchor="page" w:hAnchor="page" w:x="1419" w:y="6408" w:anchorLock="1"/>
        <w:ind w:left="-1418"/>
      </w:pPr>
    </w:p>
    <w:p>
      <w:pPr>
        <w:pStyle w:val="12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Test and ver ification methods for long blades of air-cooled</w:t>
      </w:r>
    </w:p>
    <w:p>
      <w:pPr>
        <w:pStyle w:val="128"/>
        <w:framePr w:w="9639" w:h="6974" w:hRule="exact" w:wrap="around" w:vAnchor="page" w:hAnchor="page" w:x="1419" w:y="6408" w:anchorLock="1"/>
        <w:textAlignment w:val="bottom"/>
        <w:rPr>
          <w:rFonts w:eastAsia="黑体"/>
          <w:szCs w:val="28"/>
        </w:rPr>
      </w:pPr>
      <w:r>
        <w:rPr>
          <w:rFonts w:hint="eastAsia" w:eastAsia="黑体"/>
          <w:szCs w:val="28"/>
        </w:rPr>
        <w:t>steam tuibine in pressurized water reactor nuclera power station</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8"/>
        <w:framePr w:w="9639" w:h="6974" w:hRule="exact" w:wrap="around" w:vAnchor="page" w:hAnchor="page" w:x="1419" w:y="6408" w:anchorLock="1"/>
        <w:textAlignment w:val="bottom"/>
        <w:rPr>
          <w:rFonts w:eastAsia="黑体"/>
          <w:szCs w:val="28"/>
        </w:rPr>
      </w:pPr>
    </w:p>
    <w:p>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r>
        <w:rPr>
          <w:rFonts w:hint="eastAsia"/>
          <w:sz w:val="24"/>
          <w:szCs w:val="28"/>
        </w:rPr>
        <w:t>（征求意见稿）</w:t>
      </w:r>
    </w:p>
    <w:p>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4"/>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">
                <v:fill on="f" focussize="0,0"/>
                <v:stroke color="#000000" joinstyle="round"/>
                <v:imagedata o:title=""/>
                <o:lock v:ext="edit" aspectratio="f"/>
                <w10:anchorlock/>
              </v:line>
            </w:pict>
          </mc:Fallback>
        </mc:AlternateContent>
      </w:r>
    </w:p>
    <w:p>
      <w:pPr>
        <w:pStyle w:val="94"/>
        <w:spacing w:after="360"/>
      </w:pPr>
      <w:bookmarkStart w:id="21" w:name="BookMark1"/>
      <w:r>
        <w:rPr>
          <w:rFonts w:hint="eastAsia"/>
          <w:spacing w:val="320"/>
        </w:rPr>
        <w:t>目</w:t>
      </w:r>
      <w:r>
        <w:rPr>
          <w:rFonts w:hint="eastAsia"/>
        </w:rPr>
        <w:t>次</w:t>
      </w:r>
    </w:p>
    <w:p>
      <w:pPr>
        <w:pStyle w:val="20"/>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"_Toc229388546" </w:instrText>
      </w:r>
      <w:r>
        <w:fldChar w:fldCharType="separate"/>
      </w:r>
      <w:r>
        <w:rPr>
          <w:rStyle w:val="34"/>
        </w:rPr>
        <w:t>前言</w:t>
      </w:r>
      <w:r>
        <w:rPr>
          <w:rFonts w:hint="eastAsia"/>
        </w:rPr>
        <w:tab/>
      </w:r>
      <w:r>
        <w:rPr>
          <w:rFonts w:hint="eastAsia"/>
        </w:rPr>
        <w:fldChar w:fldCharType="begin"/>
      </w:r>
      <w:r>
        <w:rPr>
          <w:rFonts w:hint="eastAsia"/>
        </w:rPr>
        <w:instrText xml:space="preserve"> </w:instrText>
      </w:r>
      <w:r>
        <w:instrText xml:space="preserve">PAGEREF _Toc229388546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pPr>
        <w:pStyle w:val="20"/>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"_Toc229388547" </w:instrText>
      </w:r>
      <w:r>
        <w:fldChar w:fldCharType="separate"/>
      </w:r>
      <w:r>
        <w:rPr>
          <w:rStyle w:val="34"/>
        </w:rPr>
        <w:t>1  范围</w:t>
      </w:r>
      <w:r>
        <w:rPr>
          <w:rFonts w:hint="eastAsia"/>
        </w:rPr>
        <w:tab/>
      </w:r>
      <w:r>
        <w:rPr>
          <w:rFonts w:hint="eastAsia"/>
        </w:rPr>
        <w:fldChar w:fldCharType="begin"/>
      </w:r>
      <w:r>
        <w:rPr>
          <w:rFonts w:hint="eastAsia"/>
        </w:rPr>
        <w:instrText xml:space="preserve"> </w:instrText>
      </w:r>
      <w:r>
        <w:instrText xml:space="preserve">PAGEREF _Toc229388547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0"/>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"_Toc229388548" </w:instrText>
      </w:r>
      <w:r>
        <w:fldChar w:fldCharType="separate"/>
      </w:r>
      <w:r>
        <w:rPr>
          <w:rStyle w:val="34"/>
        </w:rPr>
        <w:t>2  规范性引用文件</w:t>
      </w:r>
      <w:r>
        <w:rPr>
          <w:rFonts w:hint="eastAsia"/>
        </w:rPr>
        <w:tab/>
      </w:r>
      <w:r>
        <w:rPr>
          <w:rFonts w:hint="eastAsia"/>
        </w:rPr>
        <w:fldChar w:fldCharType="begin"/>
      </w:r>
      <w:r>
        <w:rPr>
          <w:rFonts w:hint="eastAsia"/>
        </w:rPr>
        <w:instrText xml:space="preserve"> </w:instrText>
      </w:r>
      <w:r>
        <w:instrText xml:space="preserve">PAGEREF _Toc229388548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0"/>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"_Toc229388549" </w:instrText>
      </w:r>
      <w:r>
        <w:fldChar w:fldCharType="separate"/>
      </w:r>
      <w:r>
        <w:rPr>
          <w:rStyle w:val="34"/>
        </w:rPr>
        <w:t>3  术语和定义</w:t>
      </w:r>
      <w:r>
        <w:rPr>
          <w:rFonts w:hint="eastAsia"/>
        </w:rPr>
        <w:tab/>
      </w:r>
      <w:r>
        <w:rPr>
          <w:rFonts w:hint="eastAsia"/>
        </w:rPr>
        <w:fldChar w:fldCharType="begin"/>
      </w:r>
      <w:r>
        <w:rPr>
          <w:rFonts w:hint="eastAsia"/>
        </w:rPr>
        <w:instrText xml:space="preserve"> </w:instrText>
      </w:r>
      <w:r>
        <w:instrText xml:space="preserve">PAGEREF _Toc229388549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0"/>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"_Toc229388550" </w:instrText>
      </w:r>
      <w:r>
        <w:fldChar w:fldCharType="separate"/>
      </w:r>
      <w:r>
        <w:rPr>
          <w:rStyle w:val="34"/>
        </w:rPr>
        <w:t>4  试验和验证内容</w:t>
      </w:r>
      <w:r>
        <w:rPr>
          <w:rFonts w:hint="eastAsia"/>
        </w:rPr>
        <w:tab/>
      </w:r>
      <w:r>
        <w:rPr>
          <w:rFonts w:hint="eastAsia"/>
        </w:rPr>
        <w:fldChar w:fldCharType="begin"/>
      </w:r>
      <w:r>
        <w:rPr>
          <w:rFonts w:hint="eastAsia"/>
        </w:rPr>
        <w:instrText xml:space="preserve"> </w:instrText>
      </w:r>
      <w:r>
        <w:instrText xml:space="preserve">PAGEREF _Toc229388550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0"/>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"_Toc229388551" </w:instrText>
      </w:r>
      <w:r>
        <w:fldChar w:fldCharType="separate"/>
      </w:r>
      <w:r>
        <w:rPr>
          <w:rStyle w:val="34"/>
        </w:rPr>
        <w:t>5  叶根、轮槽应力特性验证</w:t>
      </w:r>
      <w:r>
        <w:rPr>
          <w:rFonts w:hint="eastAsia"/>
        </w:rPr>
        <w:tab/>
      </w:r>
      <w:r>
        <w:rPr>
          <w:rFonts w:hint="eastAsia"/>
        </w:rPr>
        <w:fldChar w:fldCharType="begin"/>
      </w:r>
      <w:r>
        <w:rPr>
          <w:rFonts w:hint="eastAsia"/>
        </w:rPr>
        <w:instrText xml:space="preserve"> </w:instrText>
      </w:r>
      <w:r>
        <w:instrText xml:space="preserve">PAGEREF _Toc229388551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0"/>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"_Toc229388557" </w:instrText>
      </w:r>
      <w:r>
        <w:fldChar w:fldCharType="separate"/>
      </w:r>
      <w:r>
        <w:rPr>
          <w:rStyle w:val="34"/>
        </w:rPr>
        <w:t>6  长叶片动调频试验</w:t>
      </w:r>
      <w:r>
        <w:rPr>
          <w:rFonts w:hint="eastAsia"/>
        </w:rPr>
        <w:tab/>
      </w:r>
      <w:r>
        <w:rPr>
          <w:rFonts w:hint="eastAsia"/>
        </w:rPr>
        <w:fldChar w:fldCharType="begin"/>
      </w:r>
      <w:r>
        <w:rPr>
          <w:rFonts w:hint="eastAsia"/>
        </w:rPr>
        <w:instrText xml:space="preserve"> </w:instrText>
      </w:r>
      <w:r>
        <w:instrText xml:space="preserve">PAGEREF _Toc229388557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0"/>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"_Toc229388566" </w:instrText>
      </w:r>
      <w:r>
        <w:fldChar w:fldCharType="separate"/>
      </w:r>
      <w:r>
        <w:rPr>
          <w:rStyle w:val="34"/>
        </w:rPr>
        <w:t>7  长叶片平面叶栅试验</w:t>
      </w:r>
      <w:r>
        <w:rPr>
          <w:rFonts w:hint="eastAsia"/>
        </w:rPr>
        <w:tab/>
      </w:r>
      <w:r>
        <w:rPr>
          <w:rFonts w:hint="eastAsia"/>
        </w:rPr>
        <w:fldChar w:fldCharType="begin"/>
      </w:r>
      <w:r>
        <w:rPr>
          <w:rFonts w:hint="eastAsia"/>
        </w:rPr>
        <w:instrText xml:space="preserve"> </w:instrText>
      </w:r>
      <w:r>
        <w:instrText xml:space="preserve">PAGEREF _Toc229388566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20"/>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"_Toc229388573" </w:instrText>
      </w:r>
      <w:r>
        <w:fldChar w:fldCharType="separate"/>
      </w:r>
      <w:r>
        <w:rPr>
          <w:rStyle w:val="34"/>
        </w:rPr>
        <w:t>8  末级（或末级组）空气动力试验验证</w:t>
      </w:r>
      <w:r>
        <w:rPr>
          <w:rFonts w:hint="eastAsia"/>
        </w:rPr>
        <w:tab/>
      </w:r>
      <w:r>
        <w:rPr>
          <w:rFonts w:hint="eastAsia"/>
        </w:rPr>
        <w:fldChar w:fldCharType="begin"/>
      </w:r>
      <w:r>
        <w:rPr>
          <w:rFonts w:hint="eastAsia"/>
        </w:rPr>
        <w:instrText xml:space="preserve"> </w:instrText>
      </w:r>
      <w:r>
        <w:instrText xml:space="preserve">PAGEREF _Toc229388573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pPr>
        <w:pStyle w:val="20"/>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"_Toc229388579" </w:instrText>
      </w:r>
      <w:r>
        <w:fldChar w:fldCharType="separate"/>
      </w:r>
      <w:r>
        <w:rPr>
          <w:rStyle w:val="34"/>
        </w:rPr>
        <w:t>9  末级长叶片动应力实测试验</w:t>
      </w:r>
      <w:r>
        <w:rPr>
          <w:rFonts w:hint="eastAsia"/>
        </w:rPr>
        <w:tab/>
      </w:r>
      <w:r>
        <w:rPr>
          <w:rFonts w:hint="eastAsia"/>
        </w:rPr>
        <w:fldChar w:fldCharType="begin"/>
      </w:r>
      <w:r>
        <w:rPr>
          <w:rFonts w:hint="eastAsia"/>
        </w:rPr>
        <w:instrText xml:space="preserve"> </w:instrText>
      </w:r>
      <w:r>
        <w:instrText xml:space="preserve">PAGEREF _Toc229388579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pPr>
        <w:pStyle w:val="25"/>
        <w:ind w:left="0"/>
        <w:rPr>
          <w:rFonts w:asciiTheme="minorHAnsi" w:hAnsiTheme="minorHAnsi" w:eastAsiaTheme="minorEastAsia" w:cstheme="minorBidi"/>
          <w:sz w:val="22"/>
          <w:szCs w:val="24"/>
          <w14:ligatures w14:val="standardContextual"/>
        </w:rPr>
      </w:pPr>
    </w:p>
    <w:p>
      <w:pPr>
        <w:pStyle w:val="94"/>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pPr>
        <w:pStyle w:val="92"/>
        <w:spacing w:before="900" w:after="360"/>
      </w:pPr>
      <w:bookmarkStart w:id="22" w:name="_Toc229388546"/>
      <w:bookmarkStart w:id="23" w:name="BookMark2"/>
      <w:r>
        <w:rPr>
          <w:rFonts w:hint="eastAsia"/>
          <w:spacing w:val="320"/>
        </w:rPr>
        <w:t>前</w:t>
      </w:r>
      <w:r>
        <w:rPr>
          <w:rFonts w:hint="eastAsia"/>
        </w:rPr>
        <w:t>言</w:t>
      </w:r>
      <w:bookmarkEnd w:id="22"/>
    </w:p>
    <w:p>
      <w:pPr>
        <w:pStyle w:val="59"/>
        <w:ind w:firstLine="420"/>
      </w:pPr>
      <w:r>
        <w:rPr>
          <w:rFonts w:hint="eastAsia"/>
        </w:rPr>
        <w:t>本文件按照GB/T 1.1—2020《标准化工作导则  第1部分：标准化文件的结构和起草规则》的规定起草。</w:t>
      </w:r>
    </w:p>
    <w:p>
      <w:pPr>
        <w:pStyle w:val="59"/>
        <w:ind w:firstLine="420"/>
      </w:pPr>
      <w:r>
        <w:rPr>
          <w:rFonts w:hint="eastAsia"/>
        </w:rPr>
        <w:t>请注意本文件的某些内容可能涉及专利。本文件的发布机构不承担识别专利的责任。</w:t>
      </w:r>
    </w:p>
    <w:p>
      <w:pPr>
        <w:pStyle w:val="59"/>
        <w:ind w:firstLine="420"/>
      </w:pPr>
      <w:r>
        <w:rPr>
          <w:rFonts w:hint="eastAsia"/>
        </w:rPr>
        <w:t>本文件由中国核学会提出。</w:t>
      </w:r>
    </w:p>
    <w:p>
      <w:pPr>
        <w:pStyle w:val="59"/>
        <w:ind w:firstLine="420"/>
      </w:pPr>
      <w:r>
        <w:rPr>
          <w:rFonts w:hint="eastAsia"/>
        </w:rPr>
        <w:t>本文件由核工业标准化研究所归口。</w:t>
      </w:r>
    </w:p>
    <w:p>
      <w:pPr>
        <w:pStyle w:val="59"/>
        <w:ind w:firstLine="420"/>
      </w:pPr>
      <w:r>
        <w:rPr>
          <w:rFonts w:hint="eastAsia"/>
        </w:rPr>
        <w:t>本文件起草单位：国核电力规划设计研究院有限公司</w:t>
      </w:r>
      <w:r>
        <w:rPr>
          <w:rFonts w:hint="eastAsia"/>
          <w:lang w:eastAsia="zh-CN"/>
        </w:rPr>
        <w:t>、</w:t>
      </w:r>
      <w:r>
        <w:t>东方电气东方汽轮机有限公司、上海电气电站设备有限公司汽轮机厂。</w:t>
      </w:r>
    </w:p>
    <w:p>
      <w:pPr>
        <w:pStyle w:val="59"/>
        <w:ind w:firstLine="420"/>
        <w:rPr>
          <w:rFonts w:hint="eastAsia" w:eastAsia="宋体"/>
          <w:lang w:eastAsia="zh-CN"/>
        </w:rPr>
      </w:pPr>
      <w:r>
        <w:rPr>
          <w:rFonts w:hint="eastAsia"/>
        </w:rPr>
        <w:t>本文件主要起草人：</w:t>
      </w:r>
      <w:r>
        <w:rPr>
          <w:rFonts w:hint="eastAsia"/>
          <w:szCs w:val="21"/>
        </w:rPr>
        <w:t>王艳萍</w:t>
      </w:r>
      <w:r>
        <w:rPr>
          <w:rFonts w:hint="eastAsia"/>
          <w:szCs w:val="21"/>
          <w:lang w:eastAsia="zh-CN"/>
        </w:rPr>
        <w:t>、</w:t>
      </w:r>
      <w:r>
        <w:rPr>
          <w:rFonts w:hint="eastAsia"/>
          <w:szCs w:val="21"/>
        </w:rPr>
        <w:t>魏承君</w:t>
      </w:r>
      <w:r>
        <w:rPr>
          <w:rFonts w:hint="eastAsia"/>
          <w:szCs w:val="21"/>
          <w:lang w:eastAsia="zh-CN"/>
        </w:rPr>
        <w:t>、</w:t>
      </w:r>
      <w:r>
        <w:rPr>
          <w:rFonts w:hint="eastAsia"/>
          <w:szCs w:val="21"/>
        </w:rPr>
        <w:t>靳亚峰</w:t>
      </w:r>
      <w:r>
        <w:rPr>
          <w:rFonts w:hint="eastAsia"/>
          <w:szCs w:val="21"/>
          <w:lang w:eastAsia="zh-CN"/>
        </w:rPr>
        <w:t>、</w:t>
      </w:r>
      <w:r>
        <w:rPr>
          <w:rFonts w:hint="eastAsia"/>
          <w:szCs w:val="21"/>
        </w:rPr>
        <w:t>苟小平</w:t>
      </w:r>
      <w:r>
        <w:rPr>
          <w:rFonts w:hint="eastAsia"/>
          <w:szCs w:val="21"/>
          <w:lang w:eastAsia="zh-CN"/>
        </w:rPr>
        <w:t>、</w:t>
      </w:r>
      <w:r>
        <w:rPr>
          <w:rFonts w:hint="eastAsia"/>
          <w:szCs w:val="21"/>
        </w:rPr>
        <w:t>范志飞</w:t>
      </w:r>
      <w:r>
        <w:rPr>
          <w:rFonts w:hint="eastAsia"/>
          <w:szCs w:val="21"/>
          <w:lang w:eastAsia="zh-CN"/>
        </w:rPr>
        <w:t>、</w:t>
      </w:r>
      <w:r>
        <w:rPr>
          <w:rFonts w:hint="eastAsia"/>
          <w:szCs w:val="21"/>
        </w:rPr>
        <w:t>曹功成</w:t>
      </w:r>
      <w:r>
        <w:rPr>
          <w:rFonts w:hint="eastAsia"/>
          <w:szCs w:val="21"/>
          <w:lang w:eastAsia="zh-CN"/>
        </w:rPr>
        <w:t>、</w:t>
      </w:r>
      <w:r>
        <w:rPr>
          <w:rFonts w:hint="eastAsia"/>
          <w:szCs w:val="21"/>
        </w:rPr>
        <w:t>王恭义</w:t>
      </w:r>
      <w:r>
        <w:rPr>
          <w:rFonts w:hint="eastAsia"/>
          <w:szCs w:val="21"/>
          <w:lang w:eastAsia="zh-CN"/>
        </w:rPr>
        <w:t>、</w:t>
      </w:r>
      <w:r>
        <w:rPr>
          <w:rFonts w:hint="eastAsia"/>
          <w:szCs w:val="21"/>
        </w:rPr>
        <w:t>周代伟</w:t>
      </w:r>
      <w:r>
        <w:rPr>
          <w:rFonts w:hint="eastAsia"/>
          <w:szCs w:val="21"/>
          <w:lang w:eastAsia="zh-CN"/>
        </w:rPr>
        <w:t>。</w:t>
      </w:r>
    </w:p>
    <w:p>
      <w:pPr>
        <w:pStyle w:val="59"/>
        <w:ind w:firstLine="420"/>
      </w:pPr>
      <w:bookmarkStart w:id="85" w:name="_GoBack"/>
      <w:bookmarkEnd w:id="85"/>
    </w:p>
    <w:p>
      <w:pPr>
        <w:pStyle w:val="59"/>
        <w:ind w:firstLine="420"/>
      </w:pPr>
    </w:p>
    <w:p>
      <w:pPr>
        <w:pStyle w:val="59"/>
        <w:ind w:firstLine="420"/>
        <w:sectPr>
          <w:pgSz w:w="11906" w:h="16838"/>
          <w:pgMar w:top="1928" w:right="1134" w:bottom="1134" w:left="1134" w:header="1418" w:footer="1134" w:gutter="284"/>
          <w:pgNumType w:fmt="upperRoman"/>
          <w:cols w:space="425" w:num="1"/>
          <w:formProt w:val="0"/>
          <w:docGrid w:linePitch="312" w:charSpace="0"/>
        </w:sectPr>
      </w:pPr>
    </w:p>
    <w:bookmarkEnd w:id="23"/>
    <w:p>
      <w:pPr>
        <w:spacing w:line="20" w:lineRule="exact"/>
        <w:jc w:val="center"/>
        <w:rPr>
          <w:rFonts w:ascii="黑体" w:hAnsi="黑体" w:eastAsia="黑体"/>
          <w:sz w:val="32"/>
          <w:szCs w:val="32"/>
        </w:rPr>
      </w:pPr>
      <w:bookmarkStart w:id="24" w:name="BookMark4"/>
    </w:p>
    <w:p>
      <w:pPr>
        <w:spacing w:line="20" w:lineRule="exact"/>
        <w:jc w:val="center"/>
        <w:rPr>
          <w:rFonts w:ascii="黑体" w:hAnsi="黑体" w:eastAsia="黑体"/>
          <w:sz w:val="32"/>
          <w:szCs w:val="32"/>
        </w:rPr>
      </w:pPr>
    </w:p>
    <w:sdt>
      <w:sdtPr>
        <w:tag w:val="NEW_STAND_NAME"/>
        <w:id w:val="595910757"/>
        <w:lock w:val="sdtLocked"/>
        <w:placeholder>
          <w:docPart w:val="04CB31FE6D7A4005A36ABADAB94B6F58"/>
        </w:placeholder>
        <w15:appearance w15:val="hidden"/>
      </w:sdtPr>
      <w:sdtContent>
        <w:p>
          <w:pPr>
            <w:pStyle w:val="180"/>
            <w:spacing w:before="240" w:beforeLines="100" w:after="2" w:afterLines="1"/>
          </w:pPr>
          <w:bookmarkStart w:id="25" w:name="NEW_STAND_NAME"/>
          <w:r>
            <w:fldChar w:fldCharType="begin">
              <w:ffData>
                <w:name w:val="NEW_STAND_NAME"/>
                <w:enabled/>
                <w:calcOnExit w:val="0"/>
                <w:textInput>
                  <w:default w:val="点击此处添加标准名称"/>
                </w:textInput>
              </w:ffData>
            </w:fldChar>
          </w:r>
          <w:r>
            <w:instrText xml:space="preserve"> FORMTEXT </w:instrText>
          </w:r>
          <w:r>
            <w:fldChar w:fldCharType="separate"/>
          </w:r>
          <w:r>
            <w:rPr>
              <w:rFonts w:hint="eastAsia"/>
            </w:rPr>
            <w:t>压水堆核电厂用空冷汽轮机长叶片</w:t>
          </w:r>
        </w:p>
        <w:p>
          <w:pPr>
            <w:pStyle w:val="180"/>
            <w:spacing w:before="2" w:beforeLines="1" w:after="680"/>
          </w:pPr>
          <w:r>
            <w:rPr>
              <w:rFonts w:hint="eastAsia"/>
            </w:rPr>
            <w:t>试验和验证方法</w:t>
          </w:r>
          <w:r>
            <w:fldChar w:fldCharType="end"/>
          </w:r>
        </w:p>
      </w:sdtContent>
    </w:sdt>
    <w:bookmarkEnd w:id="25"/>
    <w:p>
      <w:pPr>
        <w:pStyle w:val="107"/>
        <w:spacing w:before="240" w:after="240"/>
      </w:pPr>
      <w:bookmarkStart w:id="26" w:name="_Toc26986530"/>
      <w:bookmarkStart w:id="27" w:name="_Toc26986771"/>
      <w:bookmarkStart w:id="28" w:name="_Toc17233325"/>
      <w:bookmarkStart w:id="29" w:name="_Toc17233333"/>
      <w:bookmarkStart w:id="30" w:name="_Toc229388547"/>
      <w:bookmarkStart w:id="31" w:name="_Toc97192964"/>
      <w:bookmarkStart w:id="32" w:name="_Toc24884218"/>
      <w:bookmarkStart w:id="33" w:name="_Toc24884211"/>
      <w:bookmarkStart w:id="34" w:name="_Toc26718930"/>
      <w:bookmarkStart w:id="35" w:name="_Toc26648465"/>
      <w:r>
        <w:rPr>
          <w:rFonts w:hint="eastAsia"/>
        </w:rPr>
        <w:t>范围</w:t>
      </w:r>
      <w:bookmarkEnd w:id="26"/>
      <w:bookmarkEnd w:id="27"/>
      <w:bookmarkEnd w:id="28"/>
      <w:bookmarkEnd w:id="29"/>
      <w:bookmarkEnd w:id="30"/>
      <w:bookmarkEnd w:id="31"/>
      <w:bookmarkEnd w:id="32"/>
      <w:bookmarkEnd w:id="33"/>
      <w:bookmarkEnd w:id="34"/>
      <w:bookmarkEnd w:id="35"/>
    </w:p>
    <w:p>
      <w:pPr>
        <w:pStyle w:val="59"/>
        <w:ind w:firstLine="420"/>
      </w:pPr>
      <w:bookmarkStart w:id="36" w:name="_Toc24884219"/>
      <w:bookmarkStart w:id="37" w:name="_Toc17233326"/>
      <w:bookmarkStart w:id="38" w:name="_Toc24884212"/>
      <w:bookmarkStart w:id="39" w:name="_Toc17233334"/>
      <w:bookmarkStart w:id="40" w:name="_Toc26648466"/>
      <w:r>
        <w:rPr>
          <w:rFonts w:hint="eastAsia"/>
        </w:rPr>
        <w:t>本文件规定了</w:t>
      </w:r>
      <w:r>
        <w:t>压水堆核电厂空冷汽轮机长叶片</w:t>
      </w:r>
      <w:r>
        <w:rPr>
          <w:rFonts w:hint="eastAsia"/>
        </w:rPr>
        <w:t>在首件产品或原型技术首次应用于产品时，应完成的</w:t>
      </w:r>
      <w:r>
        <w:t>试验内容、方法和要求。</w:t>
      </w:r>
    </w:p>
    <w:p>
      <w:pPr>
        <w:pStyle w:val="59"/>
        <w:ind w:firstLine="420"/>
      </w:pPr>
      <w:r>
        <w:rPr>
          <w:rFonts w:hint="eastAsia"/>
        </w:rPr>
        <w:t>本文件适用于压水堆核电厂空冷汽轮机长叶片试验和验证工作。</w:t>
      </w:r>
    </w:p>
    <w:p>
      <w:pPr>
        <w:pStyle w:val="107"/>
        <w:spacing w:before="240" w:after="240"/>
      </w:pPr>
      <w:bookmarkStart w:id="41" w:name="_Toc97192965"/>
      <w:bookmarkStart w:id="42" w:name="_Toc26718931"/>
      <w:bookmarkStart w:id="43" w:name="_Toc26986531"/>
      <w:bookmarkStart w:id="44" w:name="_Toc26986772"/>
      <w:bookmarkStart w:id="45" w:name="_Toc229388548"/>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34683E34F199400C94F8B7E40B2A5D5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107"/>
        <w:spacing w:before="240" w:after="240"/>
      </w:pPr>
      <w:bookmarkStart w:id="46" w:name="_Toc229388549"/>
      <w:bookmarkStart w:id="47" w:name="_Toc97192966"/>
      <w:r>
        <w:rPr>
          <w:rFonts w:hint="eastAsia"/>
          <w:szCs w:val="21"/>
        </w:rPr>
        <w:t>术语和定义</w:t>
      </w:r>
      <w:bookmarkEnd w:id="46"/>
      <w:bookmarkEnd w:id="47"/>
    </w:p>
    <w:sdt>
      <w:sdtPr>
        <w:id w:val="-1"/>
        <w:placeholder>
          <w:docPart w:val="7C2F1B2FA2144C83929C456F3D8F25C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9"/>
            <w:ind w:firstLine="420"/>
          </w:pPr>
          <w:bookmarkStart w:id="48" w:name="_Toc26986532"/>
          <w:bookmarkEnd w:id="48"/>
          <w:r>
            <w:t>本文件没有需要界定的术语和定义。</w:t>
          </w:r>
        </w:p>
      </w:sdtContent>
    </w:sdt>
    <w:p>
      <w:pPr>
        <w:pStyle w:val="107"/>
        <w:spacing w:before="240" w:after="240"/>
      </w:pPr>
      <w:bookmarkStart w:id="49" w:name="_Toc229388550"/>
      <w:r>
        <w:rPr>
          <w:rFonts w:hint="eastAsia"/>
        </w:rPr>
        <w:t>试验和验证内容</w:t>
      </w:r>
      <w:bookmarkEnd w:id="49"/>
    </w:p>
    <w:p>
      <w:pPr>
        <w:pStyle w:val="59"/>
        <w:ind w:firstLine="420"/>
      </w:pPr>
      <w:r>
        <w:t>针对压水堆核电厂空冷汽轮机长叶片首件产品应完成的试验项目包括：</w:t>
      </w:r>
    </w:p>
    <w:p>
      <w:pPr>
        <w:pStyle w:val="177"/>
      </w:pPr>
      <w:r>
        <w:rPr>
          <w:rFonts w:hint="eastAsia"/>
        </w:rPr>
        <w:t>叶根、轮槽应力特性试验；</w:t>
      </w:r>
    </w:p>
    <w:p>
      <w:pPr>
        <w:pStyle w:val="177"/>
      </w:pPr>
      <w:r>
        <w:rPr>
          <w:rFonts w:hint="eastAsia"/>
        </w:rPr>
        <w:t>长叶片动调频试验，按调频叶片要求，测量单只叶片的静频率值，测量动叶片的动频值和振型；</w:t>
      </w:r>
    </w:p>
    <w:p>
      <w:pPr>
        <w:pStyle w:val="177"/>
      </w:pPr>
      <w:r>
        <w:rPr>
          <w:rFonts w:hint="eastAsia"/>
        </w:rPr>
        <w:t>长叶片平面叶栅与环形叶栅试验，开展平面叶栅和环形叶栅试验研究，比较各种叶栅的气动性能；</w:t>
      </w:r>
    </w:p>
    <w:p>
      <w:pPr>
        <w:pStyle w:val="177"/>
      </w:pPr>
      <w:r>
        <w:rPr>
          <w:rFonts w:hint="eastAsia"/>
        </w:rPr>
        <w:t>末级（或末级组）空气动力试验验证；</w:t>
      </w:r>
    </w:p>
    <w:p>
      <w:pPr>
        <w:pStyle w:val="177"/>
      </w:pPr>
      <w:r>
        <w:rPr>
          <w:rFonts w:hint="eastAsia"/>
        </w:rPr>
        <w:t>末级长叶片动应力实测试验。</w:t>
      </w:r>
    </w:p>
    <w:p>
      <w:pPr>
        <w:pStyle w:val="107"/>
        <w:spacing w:before="240" w:after="240"/>
      </w:pPr>
      <w:bookmarkStart w:id="50" w:name="_Toc229388551"/>
      <w:r>
        <w:t>叶根、轮槽应力特性验证</w:t>
      </w:r>
      <w:bookmarkEnd w:id="50"/>
    </w:p>
    <w:p>
      <w:pPr>
        <w:pStyle w:val="108"/>
        <w:spacing w:before="120" w:after="120"/>
      </w:pPr>
      <w:bookmarkStart w:id="51" w:name="_Toc229388552"/>
      <w:r>
        <w:t>试验内容</w:t>
      </w:r>
      <w:bookmarkEnd w:id="51"/>
    </w:p>
    <w:p>
      <w:pPr>
        <w:pStyle w:val="168"/>
        <w:numPr>
          <w:ilvl w:val="255"/>
          <w:numId w:val="0"/>
        </w:numPr>
        <w:ind w:firstLine="420" w:firstLineChars="200"/>
      </w:pPr>
      <w:r>
        <w:rPr>
          <w:rFonts w:hint="eastAsia"/>
        </w:rPr>
        <w:t>叶根、轮槽应力试验内容包括：</w:t>
      </w:r>
    </w:p>
    <w:p>
      <w:pPr>
        <w:pStyle w:val="168"/>
        <w:numPr>
          <w:ilvl w:val="255"/>
          <w:numId w:val="0"/>
        </w:numPr>
      </w:pPr>
      <w:r>
        <w:rPr>
          <w:rFonts w:hint="eastAsia"/>
        </w:rPr>
        <w:t>——测量叶根、轮缘等特征截面的应力，取得叶根、轮缘的受力情况。</w:t>
      </w:r>
    </w:p>
    <w:p>
      <w:pPr>
        <w:pStyle w:val="168"/>
        <w:numPr>
          <w:ilvl w:val="255"/>
          <w:numId w:val="0"/>
        </w:numPr>
      </w:pPr>
      <w:r>
        <w:rPr>
          <w:rFonts w:hint="eastAsia"/>
        </w:rPr>
        <w:t>——测量叶根、轮缘各应力集中点的应力集中系数。</w:t>
      </w:r>
    </w:p>
    <w:p>
      <w:pPr>
        <w:pStyle w:val="168"/>
        <w:numPr>
          <w:ilvl w:val="255"/>
          <w:numId w:val="0"/>
        </w:numPr>
      </w:pPr>
      <w:r>
        <w:rPr>
          <w:rFonts w:hint="eastAsia"/>
        </w:rPr>
        <w:t>——测量确定叶根的拉断力。</w:t>
      </w:r>
    </w:p>
    <w:p>
      <w:pPr>
        <w:pStyle w:val="108"/>
        <w:spacing w:before="120" w:after="120"/>
      </w:pPr>
      <w:bookmarkStart w:id="52" w:name="_Toc229388553"/>
      <w:r>
        <w:rPr>
          <w:rFonts w:hint="eastAsia"/>
        </w:rPr>
        <w:t>试验方法</w:t>
      </w:r>
      <w:bookmarkEnd w:id="52"/>
    </w:p>
    <w:p>
      <w:pPr>
        <w:pStyle w:val="168"/>
      </w:pPr>
      <w:r>
        <w:rPr>
          <w:rFonts w:hint="eastAsia"/>
        </w:rPr>
        <w:t>采用与实物相同形状的薄板模型试验叶根和轮槽，并能加载（模拟叶片离心力的作用）。配静应变测量系统。</w:t>
      </w:r>
    </w:p>
    <w:p>
      <w:pPr>
        <w:pStyle w:val="168"/>
      </w:pPr>
      <w:r>
        <w:rPr>
          <w:rFonts w:hint="eastAsia"/>
        </w:rPr>
        <w:t>测量应力集中可使用光弹仪、电子散板干涉仪等测量系统。</w:t>
      </w:r>
    </w:p>
    <w:p>
      <w:pPr>
        <w:pStyle w:val="168"/>
      </w:pPr>
      <w:r>
        <w:rPr>
          <w:rFonts w:hint="eastAsia"/>
        </w:rPr>
        <w:t>实际的叶根、轮槽承轴向尺寸较大时，采用接近于实物尺寸的叶根模型试验，在拉力机上进行叶根模型拉断试验，确定拉断力。</w:t>
      </w:r>
    </w:p>
    <w:p>
      <w:pPr>
        <w:pStyle w:val="168"/>
      </w:pPr>
      <w:r>
        <w:rPr>
          <w:rFonts w:hint="eastAsia"/>
        </w:rPr>
        <w:t>从模型试验的极限载荷计算实物叶根的破坏载荷方法如下：</w:t>
      </w:r>
    </w:p>
    <w:p>
      <w:pPr>
        <w:pStyle w:val="116"/>
      </w:pPr>
      <w:r>
        <w:rPr>
          <w:rFonts w:hint="eastAsia"/>
        </w:rPr>
        <w:tab/>
      </w:r>
      <w:r>
        <w:drawing>
          <wp:inline distT="0" distB="0" distL="0" distR="0">
            <wp:extent cx="1085850" cy="257175"/>
            <wp:effectExtent l="0" t="0" r="0" b="9525"/>
            <wp:docPr id="123778802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788025" name="图片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085850" cy="257175"/>
                    </a:xfrm>
                    <a:prstGeom prst="rect">
                      <a:avLst/>
                    </a:prstGeom>
                    <a:noFill/>
                    <a:ln>
                      <a:noFill/>
                    </a:ln>
                  </pic:spPr>
                </pic:pic>
              </a:graphicData>
            </a:graphic>
          </wp:inline>
        </w:drawing>
      </w:r>
      <w:r>
        <w:rPr>
          <w:rFonts w:hint="eastAsia" w:ascii="微软雅黑" w:eastAsia="微软雅黑"/>
        </w:rPr>
        <w:tab/>
      </w:r>
      <w:r>
        <w:t>(</w:t>
      </w:r>
      <w:r>
        <w:fldChar w:fldCharType="begin"/>
      </w:r>
      <w:r>
        <w:instrText xml:space="preserve"> AUTONUM </w:instrText>
      </w:r>
      <w:r>
        <w:fldChar w:fldCharType="end"/>
      </w:r>
      <w:r>
        <w:t>)</w:t>
      </w:r>
    </w:p>
    <w:p>
      <w:pPr>
        <w:pStyle w:val="233"/>
      </w:pPr>
      <w:r>
        <w:rPr>
          <w:rFonts w:hint="eastAsia"/>
        </w:rPr>
        <w:t>式中：</w:t>
      </w:r>
    </w:p>
    <w:p>
      <w:pPr>
        <w:pStyle w:val="233"/>
      </w:pPr>
      <w:r>
        <w:rPr>
          <w:rFonts w:hint="eastAsia"/>
        </w:rPr>
        <w:t>C</w:t>
      </w:r>
      <w:r>
        <w:rPr>
          <w:rFonts w:hint="eastAsia"/>
          <w:vertAlign w:val="subscript"/>
        </w:rPr>
        <w:t>g</w:t>
      </w:r>
      <w:r>
        <w:rPr>
          <w:rFonts w:hint="eastAsia"/>
        </w:rPr>
        <w:t>─几何相似比</w:t>
      </w:r>
    </w:p>
    <w:p>
      <w:pPr>
        <w:pStyle w:val="233"/>
      </w:pPr>
      <w:r>
        <w:rPr>
          <w:rFonts w:hint="eastAsia"/>
        </w:rPr>
        <w:t>C</w:t>
      </w:r>
      <w:r>
        <w:rPr>
          <w:rFonts w:hint="eastAsia"/>
          <w:vertAlign w:val="subscript"/>
        </w:rPr>
        <w:t>σ</w:t>
      </w:r>
      <w:r>
        <w:rPr>
          <w:rFonts w:hint="eastAsia"/>
        </w:rPr>
        <w:t>―极限强度比</w:t>
      </w:r>
    </w:p>
    <w:p>
      <w:pPr>
        <w:pStyle w:val="233"/>
      </w:pPr>
      <w:r>
        <w:rPr>
          <w:rFonts w:hint="eastAsia"/>
        </w:rPr>
        <w:t>P</w:t>
      </w:r>
      <w:r>
        <w:rPr>
          <w:rFonts w:hint="eastAsia"/>
          <w:vertAlign w:val="subscript"/>
        </w:rPr>
        <w:t>H</w:t>
      </w:r>
      <w:r>
        <w:rPr>
          <w:rFonts w:hint="eastAsia"/>
        </w:rPr>
        <w:t>─实物破坏载荷</w:t>
      </w:r>
    </w:p>
    <w:p>
      <w:pPr>
        <w:pStyle w:val="233"/>
      </w:pPr>
      <w:r>
        <w:rPr>
          <w:rFonts w:hint="eastAsia"/>
        </w:rPr>
        <w:t>P</w:t>
      </w:r>
      <w:r>
        <w:rPr>
          <w:rFonts w:hint="eastAsia"/>
          <w:vertAlign w:val="subscript"/>
        </w:rPr>
        <w:t>M</w:t>
      </w:r>
      <w:r>
        <w:rPr>
          <w:rFonts w:hint="eastAsia"/>
        </w:rPr>
        <w:t>─模型破坏载荷</w:t>
      </w:r>
    </w:p>
    <w:p>
      <w:pPr>
        <w:pStyle w:val="108"/>
        <w:spacing w:before="120" w:after="120"/>
      </w:pPr>
      <w:bookmarkStart w:id="53" w:name="_Toc229388554"/>
      <w:r>
        <w:rPr>
          <w:rFonts w:hint="eastAsia"/>
        </w:rPr>
        <w:t>试验条件</w:t>
      </w:r>
      <w:bookmarkEnd w:id="53"/>
    </w:p>
    <w:p>
      <w:pPr>
        <w:pStyle w:val="68"/>
        <w:spacing w:before="120" w:after="120"/>
      </w:pPr>
      <w:r>
        <w:rPr>
          <w:rFonts w:hint="eastAsia"/>
        </w:rPr>
        <w:t>应力测试</w:t>
      </w:r>
    </w:p>
    <w:p>
      <w:pPr>
        <w:pStyle w:val="59"/>
        <w:ind w:firstLine="420"/>
      </w:pPr>
      <w:r>
        <w:rPr>
          <w:rFonts w:hint="eastAsia"/>
        </w:rPr>
        <w:t>应力测试前应完成（具备）的试验条件如下：</w:t>
      </w:r>
    </w:p>
    <w:p>
      <w:pPr>
        <w:pStyle w:val="59"/>
        <w:ind w:firstLine="420"/>
      </w:pPr>
      <w:r>
        <w:rPr>
          <w:rFonts w:hint="eastAsia"/>
        </w:rPr>
        <w:t>——</w:t>
      </w:r>
      <w:r>
        <w:t>设计制造全尺寸型线</w:t>
      </w:r>
      <w:r>
        <w:rPr>
          <w:rFonts w:hint="eastAsia"/>
        </w:rPr>
        <w:t>簿</w:t>
      </w:r>
      <w:r>
        <w:t>板模型；</w:t>
      </w:r>
    </w:p>
    <w:p>
      <w:pPr>
        <w:pStyle w:val="59"/>
        <w:ind w:firstLine="420"/>
      </w:pPr>
      <w:r>
        <w:rPr>
          <w:rFonts w:hint="eastAsia"/>
        </w:rPr>
        <w:t>——</w:t>
      </w:r>
      <w:r>
        <w:t>满足要求的大吨位试验机；</w:t>
      </w:r>
    </w:p>
    <w:p>
      <w:pPr>
        <w:pStyle w:val="59"/>
        <w:ind w:firstLine="420"/>
      </w:pPr>
      <w:r>
        <w:rPr>
          <w:rFonts w:hint="eastAsia"/>
        </w:rPr>
        <w:t>——</w:t>
      </w:r>
      <w:r>
        <w:t>静态应变测试系统；</w:t>
      </w:r>
    </w:p>
    <w:p>
      <w:pPr>
        <w:pStyle w:val="59"/>
        <w:ind w:firstLine="420"/>
      </w:pPr>
      <w:r>
        <w:rPr>
          <w:rFonts w:hint="eastAsia"/>
        </w:rPr>
        <w:t>——</w:t>
      </w:r>
      <w:r>
        <w:t>光弹或电子散斑干涉等应力集中测量系统；</w:t>
      </w:r>
    </w:p>
    <w:p>
      <w:pPr>
        <w:pStyle w:val="59"/>
        <w:ind w:firstLine="420"/>
      </w:pPr>
      <w:r>
        <w:rPr>
          <w:rFonts w:hint="eastAsia"/>
        </w:rPr>
        <w:t>——</w:t>
      </w:r>
      <w:r>
        <w:t>完成应变片粘贴。</w:t>
      </w:r>
    </w:p>
    <w:p>
      <w:pPr>
        <w:pStyle w:val="68"/>
        <w:spacing w:before="120" w:after="120"/>
      </w:pPr>
      <w:r>
        <w:rPr>
          <w:rFonts w:hint="eastAsia"/>
        </w:rPr>
        <w:t>叶根拉断力试验</w:t>
      </w:r>
    </w:p>
    <w:p>
      <w:pPr>
        <w:pStyle w:val="59"/>
        <w:ind w:firstLine="420"/>
      </w:pPr>
      <w:r>
        <w:rPr>
          <w:rFonts w:hint="eastAsia"/>
        </w:rPr>
        <w:t>叶根拉断力试验前应完成（具备）的试验条件如下：</w:t>
      </w:r>
    </w:p>
    <w:p>
      <w:pPr>
        <w:pStyle w:val="59"/>
        <w:ind w:firstLine="420"/>
      </w:pPr>
      <w:r>
        <w:rPr>
          <w:rFonts w:hint="eastAsia"/>
        </w:rPr>
        <w:t>——设计制造试验模型；</w:t>
      </w:r>
    </w:p>
    <w:p>
      <w:pPr>
        <w:pStyle w:val="59"/>
        <w:ind w:firstLine="420"/>
      </w:pPr>
      <w:r>
        <w:rPr>
          <w:rFonts w:hint="eastAsia"/>
        </w:rPr>
        <w:t>——专用加载装置；</w:t>
      </w:r>
    </w:p>
    <w:p>
      <w:pPr>
        <w:pStyle w:val="59"/>
        <w:ind w:firstLine="420"/>
      </w:pPr>
      <w:r>
        <w:rPr>
          <w:rFonts w:hint="eastAsia"/>
        </w:rPr>
        <w:t>——大吨位试验机；</w:t>
      </w:r>
    </w:p>
    <w:p>
      <w:pPr>
        <w:pStyle w:val="59"/>
        <w:ind w:firstLine="420"/>
      </w:pPr>
      <w:r>
        <w:rPr>
          <w:rFonts w:hint="eastAsia"/>
        </w:rPr>
        <w:t>——静态应变测试系统；</w:t>
      </w:r>
    </w:p>
    <w:p>
      <w:pPr>
        <w:pStyle w:val="59"/>
        <w:ind w:firstLine="420"/>
      </w:pPr>
      <w:r>
        <w:rPr>
          <w:rFonts w:hint="eastAsia"/>
        </w:rPr>
        <w:t>——完成应变片粘贴。</w:t>
      </w:r>
    </w:p>
    <w:p>
      <w:pPr>
        <w:pStyle w:val="108"/>
        <w:spacing w:before="120" w:after="120"/>
      </w:pPr>
      <w:bookmarkStart w:id="54" w:name="_Toc229388555"/>
      <w:r>
        <w:rPr>
          <w:rFonts w:hint="eastAsia"/>
        </w:rPr>
        <w:t>测点布置</w:t>
      </w:r>
      <w:bookmarkEnd w:id="54"/>
    </w:p>
    <w:p>
      <w:pPr>
        <w:pStyle w:val="59"/>
        <w:ind w:firstLine="420"/>
      </w:pPr>
      <w:r>
        <w:t>对于全尺寸型线薄板模型，在叶根试件、轮缘试件的特征截面位置均布多个应变片，采用小标距应变片。采用电子散斑干涉测量系统时可利用移动探头多次测量的办法，测试叶根、轮槽应力较大区域的应力分布，保证所关心的测试区域内数据完整。</w:t>
      </w:r>
    </w:p>
    <w:p>
      <w:pPr>
        <w:pStyle w:val="108"/>
        <w:spacing w:before="120" w:after="120"/>
      </w:pPr>
      <w:bookmarkStart w:id="55" w:name="_Toc229388556"/>
      <w:r>
        <w:rPr>
          <w:rFonts w:hint="eastAsia"/>
        </w:rPr>
        <w:t>试验工况</w:t>
      </w:r>
      <w:bookmarkEnd w:id="55"/>
    </w:p>
    <w:p>
      <w:pPr>
        <w:pStyle w:val="168"/>
      </w:pPr>
      <w:r>
        <w:t>按力学相似原理，用实物叶根在额定转速下的离心力确定试验模型额定加载载荷。</w:t>
      </w:r>
    </w:p>
    <w:p>
      <w:pPr>
        <w:pStyle w:val="168"/>
      </w:pPr>
      <w:r>
        <w:t>叶根极限载荷试验时加载过程应平稳，缓慢增加试验载荷，直至试件达到屈服或者破坏为止。</w:t>
      </w:r>
    </w:p>
    <w:p>
      <w:pPr>
        <w:pStyle w:val="165"/>
      </w:pPr>
      <w:r>
        <w:rPr>
          <w:rFonts w:hint="eastAsia"/>
        </w:rPr>
        <w:t>数据处理</w:t>
      </w:r>
    </w:p>
    <w:p>
      <w:pPr>
        <w:pStyle w:val="168"/>
      </w:pPr>
      <w:r>
        <w:rPr>
          <w:rFonts w:hint="eastAsia"/>
        </w:rPr>
        <w:t>整理叶根试件、轮缘试件的特征截面位置各测点的应变数据，计算特征截面的平均应力。总结试验叶根和轮缘高应力区域的应变数据，获得峰值应力数据。</w:t>
      </w:r>
    </w:p>
    <w:p>
      <w:pPr>
        <w:pStyle w:val="168"/>
      </w:pPr>
      <w:r>
        <w:rPr>
          <w:rFonts w:hint="eastAsia"/>
        </w:rPr>
        <w:t>由特征截面的平均应力和峰值应力数据，计算应力集中点的应力集中系数。</w:t>
      </w:r>
    </w:p>
    <w:p>
      <w:pPr>
        <w:pStyle w:val="168"/>
      </w:pPr>
      <w:r>
        <w:rPr>
          <w:rFonts w:hint="eastAsia"/>
        </w:rPr>
        <w:t>利用测得的叶根拉断力折算出相应的当量转速，与叶片的最高工作转速对比，进行评判。</w:t>
      </w:r>
    </w:p>
    <w:p>
      <w:pPr>
        <w:pStyle w:val="107"/>
        <w:spacing w:before="240" w:after="240"/>
      </w:pPr>
      <w:bookmarkStart w:id="56" w:name="_Toc229388557"/>
      <w:r>
        <w:rPr>
          <w:rFonts w:hint="eastAsia"/>
        </w:rPr>
        <w:t>长叶片动调频试验</w:t>
      </w:r>
      <w:bookmarkEnd w:id="56"/>
    </w:p>
    <w:p>
      <w:pPr>
        <w:pStyle w:val="108"/>
        <w:spacing w:before="120" w:after="120"/>
      </w:pPr>
      <w:bookmarkStart w:id="57" w:name="_Toc229388558"/>
      <w:r>
        <w:rPr>
          <w:rFonts w:hint="eastAsia"/>
        </w:rPr>
        <w:t>试验内容</w:t>
      </w:r>
      <w:bookmarkEnd w:id="57"/>
    </w:p>
    <w:p>
      <w:pPr>
        <w:pStyle w:val="59"/>
        <w:ind w:firstLine="420"/>
      </w:pPr>
      <w:r>
        <w:t>测量单只叶片的频率值，测量叶片、轮系的动频率；对叶片进行调频。</w:t>
      </w:r>
    </w:p>
    <w:p>
      <w:pPr>
        <w:pStyle w:val="108"/>
        <w:spacing w:before="120" w:after="120"/>
      </w:pPr>
      <w:bookmarkStart w:id="58" w:name="_Toc229388559"/>
      <w:r>
        <w:rPr>
          <w:rFonts w:hint="eastAsia"/>
        </w:rPr>
        <w:t>试验方法</w:t>
      </w:r>
      <w:bookmarkEnd w:id="58"/>
    </w:p>
    <w:p>
      <w:pPr>
        <w:pStyle w:val="168"/>
      </w:pPr>
      <w:r>
        <w:t>动叶片静频测试采用测试传递函数法。同时采集激励信号和振动响应信号，把信号传输到频谱分析仪，从传递函数的幅值谱和相干谱图来识别叶片自振频率。</w:t>
      </w:r>
    </w:p>
    <w:p>
      <w:pPr>
        <w:pStyle w:val="168"/>
      </w:pPr>
      <w:r>
        <w:t>叶片动频测试方法采用</w:t>
      </w:r>
      <w:bookmarkStart w:id="59" w:name="OLE_LINK1"/>
      <w:r>
        <w:t>无线电遥测法</w:t>
      </w:r>
      <w:bookmarkEnd w:id="59"/>
      <w:r>
        <w:t>。把微型发射机和匹配的锂电池安装在转子上平衡槽或平衡螺孔内。把拾振器粘贴在被测叶片动应力较大的部位，并把信号线传输到发射机。叶片旋转中受扰产生振动，振动信号通过发射机发射。再配上接收天线、接收机、频谱分析仪、记录仪等设备，采集存储叶片振动试验信号。分析振动信号获得叶片的动频值和振型。</w:t>
      </w:r>
    </w:p>
    <w:p>
      <w:pPr>
        <w:pStyle w:val="168"/>
      </w:pPr>
      <w:r>
        <w:t>在转子高速动平衡台位上进行旋转试验。用压缩空气配</w:t>
      </w:r>
      <w:r>
        <w:rPr>
          <w:rFonts w:hint="eastAsia"/>
        </w:rPr>
        <w:t>对应</w:t>
      </w:r>
      <w:r>
        <w:t>流量的喷嘴对叶片进行激振试验。旋转试验时一是可利用转子的不平衡量激励叶片振动，二是可利用空气脉冲力对叶片激振。以脉冲激振叶片试验的数据确认共振频率。</w:t>
      </w:r>
    </w:p>
    <w:p>
      <w:pPr>
        <w:pStyle w:val="108"/>
        <w:spacing w:before="120" w:after="120"/>
      </w:pPr>
      <w:bookmarkStart w:id="60" w:name="_Toc229388560"/>
      <w:r>
        <w:rPr>
          <w:rFonts w:hint="eastAsia"/>
        </w:rPr>
        <w:t>试验条件</w:t>
      </w:r>
      <w:bookmarkEnd w:id="60"/>
    </w:p>
    <w:p>
      <w:pPr>
        <w:pStyle w:val="68"/>
        <w:spacing w:before="120" w:after="120"/>
      </w:pPr>
      <w:r>
        <w:rPr>
          <w:rFonts w:hint="eastAsia"/>
        </w:rPr>
        <w:t>静频试验</w:t>
      </w:r>
    </w:p>
    <w:p>
      <w:pPr>
        <w:pStyle w:val="59"/>
        <w:ind w:firstLine="420"/>
      </w:pPr>
      <w:r>
        <w:rPr>
          <w:rFonts w:hint="eastAsia"/>
        </w:rPr>
        <w:t>静频试验前应完成（具备）的条件如下：</w:t>
      </w:r>
    </w:p>
    <w:p>
      <w:pPr>
        <w:pStyle w:val="59"/>
        <w:ind w:firstLine="420"/>
      </w:pPr>
      <w:r>
        <w:rPr>
          <w:rFonts w:hint="eastAsia"/>
        </w:rPr>
        <w:t>——</w:t>
      </w:r>
      <w:r>
        <w:t>实物叶片检验合格；</w:t>
      </w:r>
    </w:p>
    <w:p>
      <w:pPr>
        <w:pStyle w:val="59"/>
        <w:ind w:firstLine="420"/>
      </w:pPr>
      <w:r>
        <w:rPr>
          <w:rFonts w:hint="eastAsia"/>
        </w:rPr>
        <w:t>——</w:t>
      </w:r>
      <w:r>
        <w:t>满足要求的静频测试系统。</w:t>
      </w:r>
    </w:p>
    <w:p>
      <w:pPr>
        <w:pStyle w:val="68"/>
        <w:spacing w:before="120" w:after="120"/>
      </w:pPr>
      <w:r>
        <w:rPr>
          <w:rFonts w:hint="eastAsia"/>
        </w:rPr>
        <w:t>动调频试验</w:t>
      </w:r>
    </w:p>
    <w:p>
      <w:pPr>
        <w:pStyle w:val="59"/>
        <w:ind w:firstLine="420"/>
      </w:pPr>
      <w:r>
        <w:rPr>
          <w:rFonts w:hint="eastAsia"/>
        </w:rPr>
        <w:t>动调频试验前应完成（具备）的条件如下：</w:t>
      </w:r>
    </w:p>
    <w:p>
      <w:pPr>
        <w:pStyle w:val="59"/>
        <w:ind w:firstLine="420"/>
      </w:pPr>
      <w:r>
        <w:rPr>
          <w:rFonts w:hint="eastAsia"/>
        </w:rPr>
        <w:t>——</w:t>
      </w:r>
      <w:r>
        <w:t>试验叶片和叶轮均采用实际尺寸；</w:t>
      </w:r>
    </w:p>
    <w:p>
      <w:pPr>
        <w:pStyle w:val="59"/>
        <w:ind w:firstLine="420"/>
      </w:pPr>
      <w:r>
        <w:rPr>
          <w:rFonts w:hint="eastAsia"/>
        </w:rPr>
        <w:t>——</w:t>
      </w:r>
      <w:r>
        <w:t>所试验的叶片经检验合格，并完成静频试验；</w:t>
      </w:r>
    </w:p>
    <w:p>
      <w:pPr>
        <w:pStyle w:val="59"/>
        <w:ind w:firstLine="420"/>
      </w:pPr>
      <w:r>
        <w:rPr>
          <w:rFonts w:hint="eastAsia"/>
        </w:rPr>
        <w:t>——</w:t>
      </w:r>
      <w:r>
        <w:t>试验叶轮设计、制造符合产品图样及工艺要求；</w:t>
      </w:r>
    </w:p>
    <w:p>
      <w:pPr>
        <w:pStyle w:val="59"/>
        <w:ind w:firstLine="420"/>
      </w:pPr>
      <w:r>
        <w:rPr>
          <w:rFonts w:hint="eastAsia"/>
        </w:rPr>
        <w:t>——</w:t>
      </w:r>
      <w:r>
        <w:t>试验叶片按产品图样及工艺要求正确装配于试验叶轮上；</w:t>
      </w:r>
    </w:p>
    <w:p>
      <w:pPr>
        <w:pStyle w:val="59"/>
        <w:ind w:firstLine="420"/>
      </w:pPr>
      <w:r>
        <w:rPr>
          <w:rFonts w:hint="eastAsia"/>
        </w:rPr>
        <w:t>——</w:t>
      </w:r>
      <w:r>
        <w:t>无线电遥测系统和信号采集记录分析系统；</w:t>
      </w:r>
    </w:p>
    <w:p>
      <w:pPr>
        <w:pStyle w:val="59"/>
        <w:ind w:firstLine="420"/>
      </w:pPr>
      <w:r>
        <w:rPr>
          <w:rFonts w:hint="eastAsia"/>
        </w:rPr>
        <w:t>——</w:t>
      </w:r>
      <w:r>
        <w:t>转子高速动平衡试验台。</w:t>
      </w:r>
    </w:p>
    <w:p>
      <w:pPr>
        <w:pStyle w:val="108"/>
        <w:spacing w:before="120" w:after="120"/>
      </w:pPr>
      <w:bookmarkStart w:id="61" w:name="_Toc229388561"/>
      <w:r>
        <w:rPr>
          <w:rFonts w:hint="eastAsia"/>
        </w:rPr>
        <w:t>测点布置</w:t>
      </w:r>
      <w:bookmarkEnd w:id="61"/>
    </w:p>
    <w:p>
      <w:pPr>
        <w:pStyle w:val="59"/>
        <w:ind w:firstLine="420"/>
      </w:pPr>
      <w:r>
        <w:t>在叶片上动应力较大且对所关注的各阶振动均有较强反应的位置处粘贴应变片。测点的布置既可参考仿真结果，也可通过试验确定。测试叶片数不少于6只。</w:t>
      </w:r>
    </w:p>
    <w:p>
      <w:pPr>
        <w:pStyle w:val="108"/>
        <w:spacing w:before="120" w:after="120"/>
      </w:pPr>
      <w:bookmarkStart w:id="62" w:name="_Toc229388562"/>
      <w:r>
        <w:rPr>
          <w:rFonts w:hint="eastAsia"/>
        </w:rPr>
        <w:t>测试仪器要求</w:t>
      </w:r>
      <w:bookmarkEnd w:id="62"/>
    </w:p>
    <w:p>
      <w:pPr>
        <w:pStyle w:val="59"/>
        <w:ind w:firstLine="420"/>
      </w:pPr>
      <w:r>
        <w:t>静频测试需要满足频率分析要求的动态仪器及软件。</w:t>
      </w:r>
    </w:p>
    <w:p>
      <w:pPr>
        <w:pStyle w:val="59"/>
        <w:ind w:firstLine="420"/>
      </w:pPr>
      <w:r>
        <w:t>所用发射机的主要技术指标信噪比、频响特性、灵敏度、温漂等应满足动态测量需要。接收机必须是相应发射机配套的产品。</w:t>
      </w:r>
    </w:p>
    <w:p>
      <w:pPr>
        <w:pStyle w:val="59"/>
        <w:ind w:firstLine="420"/>
      </w:pPr>
      <w:r>
        <w:t>数据采集存储系统能实时采集和存储数据，实时分析频率范围满足要求。</w:t>
      </w:r>
    </w:p>
    <w:p>
      <w:pPr>
        <w:pStyle w:val="108"/>
        <w:spacing w:before="120" w:after="120"/>
      </w:pPr>
      <w:bookmarkStart w:id="63" w:name="_Toc229388563"/>
      <w:r>
        <w:rPr>
          <w:rFonts w:hint="eastAsia"/>
        </w:rPr>
        <w:t>试验工况</w:t>
      </w:r>
      <w:bookmarkEnd w:id="63"/>
    </w:p>
    <w:p>
      <w:pPr>
        <w:pStyle w:val="59"/>
        <w:ind w:firstLine="420"/>
      </w:pPr>
      <w:r>
        <w:t>试验转速范围覆盖0~110%倍工作转速。试验转子升、降速率控制在（3r/min）/s内。</w:t>
      </w:r>
    </w:p>
    <w:p>
      <w:pPr>
        <w:pStyle w:val="59"/>
        <w:ind w:firstLine="420"/>
      </w:pPr>
      <w:r>
        <w:t>用高压氮气或压缩空气配小流量的喷嘴对叶片进行激振。</w:t>
      </w:r>
    </w:p>
    <w:p>
      <w:pPr>
        <w:pStyle w:val="59"/>
        <w:ind w:firstLine="420"/>
      </w:pPr>
      <w:r>
        <w:t>应至少进行2次重复试验，确认试验结果有较好的重复性。</w:t>
      </w:r>
    </w:p>
    <w:p>
      <w:pPr>
        <w:pStyle w:val="108"/>
        <w:spacing w:before="120" w:after="120"/>
      </w:pPr>
      <w:bookmarkStart w:id="64" w:name="_Toc229388564"/>
      <w:r>
        <w:rPr>
          <w:rFonts w:hint="eastAsia"/>
        </w:rPr>
        <w:t>数据记录</w:t>
      </w:r>
      <w:bookmarkEnd w:id="64"/>
    </w:p>
    <w:p>
      <w:pPr>
        <w:pStyle w:val="59"/>
        <w:ind w:firstLine="420"/>
      </w:pPr>
      <w:r>
        <w:t>在试验过程中记录叶片振动信号、试验转速。按转速方式采样时其间隔转速增量不大于10转/分。建立数据记录注释文件，注明试验状态、测点与对应通道号。</w:t>
      </w:r>
    </w:p>
    <w:p>
      <w:pPr>
        <w:pStyle w:val="108"/>
        <w:spacing w:before="120" w:after="120"/>
      </w:pPr>
      <w:bookmarkStart w:id="65" w:name="_Toc229388565"/>
      <w:r>
        <w:rPr>
          <w:rFonts w:hint="eastAsia"/>
        </w:rPr>
        <w:t>数据处理</w:t>
      </w:r>
      <w:bookmarkEnd w:id="65"/>
    </w:p>
    <w:p>
      <w:pPr>
        <w:pStyle w:val="59"/>
        <w:ind w:firstLine="420"/>
      </w:pPr>
      <w:r>
        <w:t>分析数据，若需调频，实施调频方案后再次试验，直至叶片调频合格。</w:t>
      </w:r>
    </w:p>
    <w:p>
      <w:pPr>
        <w:pStyle w:val="59"/>
        <w:ind w:firstLine="420"/>
      </w:pPr>
      <w:r>
        <w:t>整理试验数据，获得叶片各阶动频值和振型,绘制坎贝尔图。</w:t>
      </w:r>
    </w:p>
    <w:p>
      <w:pPr>
        <w:pStyle w:val="107"/>
        <w:spacing w:before="240" w:after="240"/>
      </w:pPr>
      <w:bookmarkStart w:id="66" w:name="_Toc229388566"/>
      <w:r>
        <w:rPr>
          <w:rFonts w:hint="eastAsia"/>
        </w:rPr>
        <w:t>长叶片平面叶栅试验</w:t>
      </w:r>
      <w:bookmarkEnd w:id="66"/>
    </w:p>
    <w:p>
      <w:pPr>
        <w:pStyle w:val="59"/>
        <w:ind w:firstLine="420"/>
      </w:pPr>
      <w:r>
        <w:t>平面叶栅、环形叶栅试验是基础叶型开发的必备手段，平面叶栅试验主要用于叶型二维绕流特性研究，比较各种叶栅的气动性能，评价叶栅绕流计算的正确性，研究各种几何参数和气动参数对叶栅特性的影响及产品叶栅中气流流动参数的各种物理现象；环形叶栅试验主要对静叶部分弧段进行损失特性的研究，由于具有环形效应，还可以对静叶进行三维成型研究。</w:t>
      </w:r>
    </w:p>
    <w:p>
      <w:pPr>
        <w:pStyle w:val="108"/>
        <w:spacing w:before="120" w:after="120"/>
      </w:pPr>
      <w:bookmarkStart w:id="67" w:name="_Toc229388567"/>
      <w:r>
        <w:rPr>
          <w:rFonts w:hint="eastAsia"/>
        </w:rPr>
        <w:t>试验内容</w:t>
      </w:r>
      <w:bookmarkEnd w:id="67"/>
    </w:p>
    <w:p>
      <w:pPr>
        <w:pStyle w:val="59"/>
        <w:ind w:firstLine="420"/>
      </w:pPr>
      <w:r>
        <w:t>平面叶栅在不同安装角下的叶片表面静压分布、出口总压分布和出口气流角。详细分析各种气动参数随叶片安装角的变化规律。</w:t>
      </w:r>
    </w:p>
    <w:p>
      <w:pPr>
        <w:pStyle w:val="59"/>
        <w:ind w:firstLine="420"/>
      </w:pPr>
      <w:r>
        <w:t>环形叶栅试验对各个测量截面上试验叶栅的气动参数进行测量，测试能量损失沿叶高的分布、出气角沿叶高的分布、叶型表面压力分布。</w:t>
      </w:r>
    </w:p>
    <w:p>
      <w:pPr>
        <w:pStyle w:val="108"/>
        <w:spacing w:before="120" w:after="120"/>
      </w:pPr>
      <w:bookmarkStart w:id="68" w:name="_Toc229388568"/>
      <w:r>
        <w:rPr>
          <w:rFonts w:hint="eastAsia"/>
        </w:rPr>
        <w:t>试验方法</w:t>
      </w:r>
      <w:bookmarkEnd w:id="68"/>
    </w:p>
    <w:p>
      <w:pPr>
        <w:pStyle w:val="168"/>
      </w:pPr>
      <w:r>
        <w:t>按照一定模化比设计叶栅，安装在平面叶栅、环形叶栅试验台上。由电机带动鼓风机满足试验需要的风源，利用阀门改变进气参数，该方法是目前国际上进行叶片气动研究的普遍方法。</w:t>
      </w:r>
    </w:p>
    <w:p>
      <w:pPr>
        <w:pStyle w:val="168"/>
      </w:pPr>
      <w:r>
        <w:t>要保持几何相似，就要保证试验叶片和实物叶片的叶型及径向成型、径高比、相对栅距和相对叶高等几何参数相似。模化比一般选取在0.7～1.0之间，模化比过小将改变试验的边界条件，因此一般不宜将模化比取得过小。</w:t>
      </w:r>
    </w:p>
    <w:p>
      <w:pPr>
        <w:pStyle w:val="168"/>
      </w:pPr>
      <w:r>
        <w:t>在设计试验件时，要考虑试验件的通流面积和试验马赫数相对应，以保证能达到实验所要求的马赫数，需要进行风机特性与试验马赫数匹配计算。</w:t>
      </w:r>
    </w:p>
    <w:p>
      <w:pPr>
        <w:pStyle w:val="168"/>
      </w:pPr>
      <w:r>
        <w:t>平面叶栅、环形叶栅试验一般不少于7只叶片；试验前先测试风洞试验台位的流场均匀性，附面</w:t>
      </w:r>
      <w:r>
        <w:rPr>
          <w:rFonts w:hint="eastAsia"/>
        </w:rPr>
        <w:t>层</w:t>
      </w:r>
      <w:r>
        <w:t>厚度；一般在叶栅中部相邻的两只叶片的内、背弧布置表面静压孔，表面静压孔要求垂直于弧面法向。</w:t>
      </w:r>
    </w:p>
    <w:p>
      <w:pPr>
        <w:pStyle w:val="168"/>
      </w:pPr>
      <w:r>
        <w:t>在叶栅高度的中部截面处沿相邻连续3个气道（栅距）进行损失测量，得出每个气道的损失系数，并要求它们之间绝对值相差不超过0.25%，然后取其平均值，即为型损。</w:t>
      </w:r>
    </w:p>
    <w:p>
      <w:pPr>
        <w:pStyle w:val="168"/>
      </w:pPr>
      <w:r>
        <w:t>在做端损时要消除风洞附面层对叶栅端部的影响，因此，离端部一定距离处装一隔离板。在中间气道沿栅距和全叶高进行损失测量（沿栅距、沿叶高）均除叶栅的总损失系数减去型损，即得端损。</w:t>
      </w:r>
    </w:p>
    <w:p>
      <w:pPr>
        <w:pStyle w:val="108"/>
        <w:spacing w:before="120" w:after="120"/>
      </w:pPr>
      <w:bookmarkStart w:id="69" w:name="_Toc229388569"/>
      <w:r>
        <w:rPr>
          <w:rFonts w:hint="eastAsia"/>
        </w:rPr>
        <w:t>测点布置</w:t>
      </w:r>
      <w:bookmarkEnd w:id="69"/>
    </w:p>
    <w:p>
      <w:pPr>
        <w:pStyle w:val="59"/>
        <w:ind w:firstLine="420"/>
      </w:pPr>
      <w:r>
        <w:t>试验栅板进气前装有总压测针测量进气总压，利用热电偶测量进气温度，出口采用楔形方向探针测量叶栅出气总压和方向角，同时，在栅前和栅后的上下栅板分别布置了静压孔，测量进口根顶部静压和出口根顶部静压，静压孔一般不少于6个。</w:t>
      </w:r>
    </w:p>
    <w:p>
      <w:pPr>
        <w:pStyle w:val="108"/>
        <w:spacing w:before="120" w:after="120"/>
      </w:pPr>
      <w:bookmarkStart w:id="70" w:name="_Toc229388570"/>
      <w:r>
        <w:rPr>
          <w:rFonts w:hint="eastAsia"/>
        </w:rPr>
        <w:t>试验工况</w:t>
      </w:r>
      <w:bookmarkEnd w:id="70"/>
    </w:p>
    <w:p>
      <w:pPr>
        <w:pStyle w:val="59"/>
        <w:ind w:firstLine="420"/>
      </w:pPr>
      <w:r>
        <w:t>平面叶栅试验工况一般包括：</w:t>
      </w:r>
    </w:p>
    <w:p>
      <w:pPr>
        <w:pStyle w:val="59"/>
        <w:ind w:firstLine="420"/>
      </w:pPr>
      <w:r>
        <w:t>变相对栅距试验；</w:t>
      </w:r>
    </w:p>
    <w:p>
      <w:pPr>
        <w:pStyle w:val="59"/>
        <w:ind w:firstLine="420"/>
      </w:pPr>
      <w:r>
        <w:t>变安装角；</w:t>
      </w:r>
    </w:p>
    <w:p>
      <w:pPr>
        <w:pStyle w:val="59"/>
        <w:ind w:firstLine="420"/>
      </w:pPr>
      <w:r>
        <w:t>变攻角；</w:t>
      </w:r>
    </w:p>
    <w:p>
      <w:pPr>
        <w:pStyle w:val="59"/>
        <w:ind w:firstLine="420"/>
      </w:pPr>
      <w:r>
        <w:t>变马赫数；</w:t>
      </w:r>
    </w:p>
    <w:p>
      <w:pPr>
        <w:pStyle w:val="59"/>
        <w:ind w:firstLine="420"/>
      </w:pPr>
      <w:r>
        <w:t>并根据需要对以上试验工况进行交叉，以便绘制出特性曲线图册。</w:t>
      </w:r>
    </w:p>
    <w:p>
      <w:pPr>
        <w:pStyle w:val="59"/>
        <w:ind w:firstLine="420"/>
      </w:pPr>
      <w:r>
        <w:t>环形叶栅试验为固定工况。</w:t>
      </w:r>
    </w:p>
    <w:p>
      <w:pPr>
        <w:pStyle w:val="108"/>
        <w:spacing w:before="120" w:after="120"/>
      </w:pPr>
      <w:bookmarkStart w:id="71" w:name="_Toc229388571"/>
      <w:r>
        <w:rPr>
          <w:rFonts w:hint="eastAsia"/>
        </w:rPr>
        <w:t>数据采集</w:t>
      </w:r>
      <w:bookmarkEnd w:id="71"/>
    </w:p>
    <w:p>
      <w:pPr>
        <w:pStyle w:val="59"/>
        <w:ind w:firstLine="420"/>
      </w:pPr>
      <w:r>
        <w:t>数据采集系统一般由高精度压力传感器，热电阻、数据（压力、温度）采集模块、接口板及计算机组成。测试数据精度需满足试验要求。</w:t>
      </w:r>
    </w:p>
    <w:p>
      <w:pPr>
        <w:pStyle w:val="108"/>
        <w:spacing w:before="120" w:after="120"/>
      </w:pPr>
      <w:bookmarkStart w:id="72" w:name="_Toc229388572"/>
      <w:r>
        <w:rPr>
          <w:rFonts w:hint="eastAsia"/>
        </w:rPr>
        <w:t>数据处理</w:t>
      </w:r>
      <w:bookmarkEnd w:id="72"/>
    </w:p>
    <w:p>
      <w:pPr>
        <w:pStyle w:val="59"/>
        <w:ind w:firstLine="420"/>
      </w:pPr>
      <w:r>
        <w:t>数据常用处理公式：</w:t>
      </w:r>
    </w:p>
    <w:p>
      <w:pPr>
        <w:pStyle w:val="59"/>
        <w:ind w:firstLine="420"/>
      </w:pPr>
      <w:r>
        <w:t>进口马赫数</w:t>
      </w:r>
      <w:r>
        <w:drawing>
          <wp:inline distT="0" distB="0" distL="0" distR="0">
            <wp:extent cx="2114550" cy="352425"/>
            <wp:effectExtent l="0" t="0" r="0" b="9525"/>
            <wp:docPr id="181786565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865655" name="图片 3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114550" cy="352425"/>
                    </a:xfrm>
                    <a:prstGeom prst="rect">
                      <a:avLst/>
                    </a:prstGeom>
                    <a:noFill/>
                    <a:ln>
                      <a:noFill/>
                    </a:ln>
                  </pic:spPr>
                </pic:pic>
              </a:graphicData>
            </a:graphic>
          </wp:inline>
        </w:drawing>
      </w:r>
    </w:p>
    <w:p>
      <w:pPr>
        <w:pStyle w:val="59"/>
        <w:ind w:firstLine="420"/>
      </w:pPr>
      <w:r>
        <w:t>出口等熵马赫数</w:t>
      </w:r>
      <w:r>
        <w:drawing>
          <wp:inline distT="0" distB="0" distL="0" distR="0">
            <wp:extent cx="2076450" cy="390525"/>
            <wp:effectExtent l="0" t="0" r="0" b="9525"/>
            <wp:docPr id="1242805501"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805501" name="图片 3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076450" cy="390525"/>
                    </a:xfrm>
                    <a:prstGeom prst="rect">
                      <a:avLst/>
                    </a:prstGeom>
                    <a:noFill/>
                    <a:ln>
                      <a:noFill/>
                    </a:ln>
                  </pic:spPr>
                </pic:pic>
              </a:graphicData>
            </a:graphic>
          </wp:inline>
        </w:drawing>
      </w:r>
    </w:p>
    <w:p>
      <w:pPr>
        <w:pStyle w:val="59"/>
        <w:ind w:firstLine="420"/>
      </w:pPr>
      <w:r>
        <w:t>出口等熵马赫数</w:t>
      </w:r>
      <w:r>
        <w:drawing>
          <wp:inline distT="0" distB="0" distL="0" distR="0">
            <wp:extent cx="1990725" cy="390525"/>
            <wp:effectExtent l="0" t="0" r="9525" b="9525"/>
            <wp:docPr id="148713918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139184" name="图片 3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990725" cy="390525"/>
                    </a:xfrm>
                    <a:prstGeom prst="rect">
                      <a:avLst/>
                    </a:prstGeom>
                    <a:noFill/>
                    <a:ln>
                      <a:noFill/>
                    </a:ln>
                  </pic:spPr>
                </pic:pic>
              </a:graphicData>
            </a:graphic>
          </wp:inline>
        </w:drawing>
      </w:r>
    </w:p>
    <w:p>
      <w:pPr>
        <w:pStyle w:val="59"/>
        <w:ind w:firstLine="420"/>
      </w:pPr>
      <w:r>
        <w:t>总压损失系数</w:t>
      </w:r>
      <w:r>
        <w:drawing>
          <wp:inline distT="0" distB="0" distL="0" distR="0">
            <wp:extent cx="942975" cy="228600"/>
            <wp:effectExtent l="0" t="0" r="9525" b="0"/>
            <wp:docPr id="1427647250"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647250" name="图片 3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942975" cy="228600"/>
                    </a:xfrm>
                    <a:prstGeom prst="rect">
                      <a:avLst/>
                    </a:prstGeom>
                    <a:noFill/>
                    <a:ln>
                      <a:noFill/>
                    </a:ln>
                  </pic:spPr>
                </pic:pic>
              </a:graphicData>
            </a:graphic>
          </wp:inline>
        </w:drawing>
      </w:r>
    </w:p>
    <w:p>
      <w:pPr>
        <w:pStyle w:val="59"/>
        <w:ind w:firstLine="420"/>
      </w:pPr>
      <w:r>
        <w:t>能量损失系数</w:t>
      </w:r>
      <w:r>
        <w:drawing>
          <wp:inline distT="0" distB="0" distL="0" distR="0">
            <wp:extent cx="1181100" cy="895350"/>
            <wp:effectExtent l="0" t="0" r="0" b="0"/>
            <wp:docPr id="201962722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627222" name="图片 3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1181100" cy="895350"/>
                    </a:xfrm>
                    <a:prstGeom prst="rect">
                      <a:avLst/>
                    </a:prstGeom>
                    <a:noFill/>
                    <a:ln>
                      <a:noFill/>
                    </a:ln>
                  </pic:spPr>
                </pic:pic>
              </a:graphicData>
            </a:graphic>
          </wp:inline>
        </w:drawing>
      </w:r>
    </w:p>
    <w:p>
      <w:pPr>
        <w:pStyle w:val="59"/>
        <w:ind w:firstLine="420"/>
      </w:pPr>
      <w:r>
        <w:t>整理试验数据，获得叶栅的气动性能曲线，形成总结报告。</w:t>
      </w:r>
    </w:p>
    <w:p>
      <w:pPr>
        <w:pStyle w:val="107"/>
        <w:spacing w:before="240" w:after="240"/>
      </w:pPr>
      <w:bookmarkStart w:id="73" w:name="_Toc229388573"/>
      <w:r>
        <w:t>末级（或末级组）空气动力试验验证</w:t>
      </w:r>
      <w:bookmarkEnd w:id="73"/>
    </w:p>
    <w:p>
      <w:pPr>
        <w:pStyle w:val="108"/>
        <w:spacing w:before="120" w:after="120"/>
      </w:pPr>
      <w:bookmarkStart w:id="74" w:name="_Toc229388574"/>
      <w:r>
        <w:t>试验和验证的内容</w:t>
      </w:r>
      <w:bookmarkEnd w:id="74"/>
    </w:p>
    <w:p>
      <w:pPr>
        <w:pStyle w:val="177"/>
        <w:numPr>
          <w:ilvl w:val="0"/>
          <w:numId w:val="32"/>
        </w:numPr>
      </w:pPr>
      <w:r>
        <w:t>试验</w:t>
      </w:r>
      <w:r>
        <w:rPr>
          <w:rFonts w:hint="eastAsia"/>
        </w:rPr>
        <w:t>宜</w:t>
      </w:r>
      <w:r>
        <w:t>在定转速下进行</w:t>
      </w:r>
      <w:r>
        <w:rPr>
          <w:rFonts w:hint="eastAsia"/>
        </w:rPr>
        <w:t>；</w:t>
      </w:r>
    </w:p>
    <w:p>
      <w:pPr>
        <w:pStyle w:val="177"/>
        <w:numPr>
          <w:ilvl w:val="0"/>
          <w:numId w:val="32"/>
        </w:numPr>
      </w:pPr>
      <w:r>
        <w:t>额定工况下测量末级（及末级组）的进、出口及末级静动叶级间的根、顶部静压，末级进、出口汽流速度及方向、湿度等沿叶高的变化；测定根、顶部的反动度；测定末级（及末级组）的压比、功率、效率和通流特性</w:t>
      </w:r>
      <w:r>
        <w:rPr>
          <w:rFonts w:hint="eastAsia"/>
        </w:rPr>
        <w:t>；</w:t>
      </w:r>
    </w:p>
    <w:p>
      <w:pPr>
        <w:pStyle w:val="177"/>
        <w:numPr>
          <w:ilvl w:val="0"/>
          <w:numId w:val="32"/>
        </w:numPr>
      </w:pPr>
      <w:r>
        <w:t>变工况（从零功率的马达工况到接近阻塞流动工况，工况点至少5点。）下测量末级的进、出口的流场，获得末级（及末级组）的根顶部反动度、流量、功率、效率与压比的关系。</w:t>
      </w:r>
    </w:p>
    <w:p>
      <w:pPr>
        <w:pStyle w:val="108"/>
        <w:spacing w:before="120" w:after="120"/>
      </w:pPr>
      <w:bookmarkStart w:id="75" w:name="_Toc229388575"/>
      <w:r>
        <w:t>试验和验证的方法</w:t>
      </w:r>
      <w:bookmarkEnd w:id="75"/>
    </w:p>
    <w:p>
      <w:pPr>
        <w:pStyle w:val="59"/>
        <w:ind w:firstLine="420"/>
      </w:pPr>
      <w:r>
        <w:t>模化要求：在模化缩小的模型级进行试验应该满足下列基本条件。</w:t>
      </w:r>
    </w:p>
    <w:p>
      <w:pPr>
        <w:pStyle w:val="177"/>
        <w:numPr>
          <w:ilvl w:val="0"/>
          <w:numId w:val="33"/>
        </w:numPr>
      </w:pPr>
      <w:r>
        <w:t>几何尺寸。试验件的所有结构尺寸按同一的模化比（试验件尺寸与实物件尺寸之比）几何缩小。</w:t>
      </w:r>
    </w:p>
    <w:p>
      <w:pPr>
        <w:pStyle w:val="177"/>
      </w:pPr>
      <w:r>
        <w:t>速比相同。确定动叶进出口速度三角形的相同或相似。</w:t>
      </w:r>
    </w:p>
    <w:p>
      <w:pPr>
        <w:pStyle w:val="177"/>
      </w:pPr>
      <w:r>
        <w:t>马赫数相同。</w:t>
      </w:r>
    </w:p>
    <w:p>
      <w:pPr>
        <w:pStyle w:val="177"/>
      </w:pPr>
      <w:r>
        <w:t>雷诺数应该进入自模化区。</w:t>
      </w:r>
    </w:p>
    <w:p>
      <w:pPr>
        <w:pStyle w:val="177"/>
      </w:pPr>
      <w:r>
        <w:t>工质</w:t>
      </w:r>
      <w:r>
        <w:rPr>
          <w:rFonts w:hint="eastAsia"/>
        </w:rPr>
        <w:t>应为</w:t>
      </w:r>
      <w:r>
        <w:t>蒸汽，</w:t>
      </w:r>
      <w:r>
        <w:rPr>
          <w:rFonts w:hint="eastAsia"/>
        </w:rPr>
        <w:t>且</w:t>
      </w:r>
      <w:r>
        <w:t>蒸汽的进口平均湿度</w:t>
      </w:r>
      <w:r>
        <w:rPr>
          <w:rFonts w:hint="eastAsia"/>
        </w:rPr>
        <w:t>与实物</w:t>
      </w:r>
      <w:r>
        <w:t>相接近。</w:t>
      </w:r>
    </w:p>
    <w:p>
      <w:pPr>
        <w:pStyle w:val="59"/>
        <w:ind w:firstLine="420"/>
      </w:pPr>
      <w:r>
        <w:t>试验装置：试验装置可为单级（末级）试验及多级（末三级）分轴试验。</w:t>
      </w:r>
    </w:p>
    <w:p>
      <w:pPr>
        <w:pStyle w:val="59"/>
        <w:ind w:firstLine="420"/>
      </w:pPr>
      <w:r>
        <w:t>数据的测量和采集：为获得级（及末级组）的气动特性，需测量的物理量有流量、转速、功率、蒸汽的参数压力（温度）、湿度；末级（及末级组）的进、出口测定中要测量流速、气流方向等。为获得精确的末级（及末级组）的效率，必须提供试验设备空转功率的试验值。</w:t>
      </w:r>
    </w:p>
    <w:p>
      <w:pPr>
        <w:pStyle w:val="108"/>
        <w:spacing w:before="120" w:after="120"/>
      </w:pPr>
      <w:bookmarkStart w:id="76" w:name="_Toc229388576"/>
      <w:r>
        <w:t>试验和验证的依据</w:t>
      </w:r>
      <w:bookmarkEnd w:id="76"/>
    </w:p>
    <w:p>
      <w:pPr>
        <w:pStyle w:val="59"/>
        <w:ind w:firstLine="420"/>
      </w:pPr>
      <w:r>
        <w:t>试验中获得的各物理量误差应符合仪表的精度。对各计算物理量进行误差分析计算。末级（或末级组）的试验效率综合测量误差应小于±0.75%。</w:t>
      </w:r>
    </w:p>
    <w:p>
      <w:pPr>
        <w:pStyle w:val="59"/>
        <w:ind w:firstLine="420"/>
      </w:pPr>
      <w:r>
        <w:rPr>
          <w:rFonts w:hint="eastAsia"/>
        </w:rPr>
        <w:t>实测值</w:t>
      </w:r>
      <w:r>
        <w:t>与制造厂设计值</w:t>
      </w:r>
      <w:r>
        <w:rPr>
          <w:rFonts w:hint="eastAsia"/>
        </w:rPr>
        <w:t>的偏差，</w:t>
      </w:r>
      <w:r>
        <w:t>应不大于</w:t>
      </w:r>
      <w:r>
        <w:rPr>
          <w:rFonts w:hint="eastAsia"/>
        </w:rPr>
        <w:t>各</w:t>
      </w:r>
      <w:r>
        <w:t>物理量的误差分析值；若</w:t>
      </w:r>
      <w:r>
        <w:rPr>
          <w:rFonts w:hint="eastAsia"/>
        </w:rPr>
        <w:t>偏差超出该范围，</w:t>
      </w:r>
      <w:r>
        <w:t>应进行分析。</w:t>
      </w:r>
    </w:p>
    <w:p>
      <w:pPr>
        <w:pStyle w:val="59"/>
        <w:ind w:firstLine="420"/>
      </w:pPr>
      <w:r>
        <w:t>根据试验结构尺寸及试验蒸汽参数进行全三维数值计算并与实测值进行比较分析。</w:t>
      </w:r>
    </w:p>
    <w:p>
      <w:pPr>
        <w:pStyle w:val="108"/>
        <w:spacing w:before="120" w:after="120"/>
      </w:pPr>
      <w:bookmarkStart w:id="77" w:name="_Toc229388577"/>
      <w:r>
        <w:t>试验和验证的条件</w:t>
      </w:r>
      <w:bookmarkEnd w:id="77"/>
    </w:p>
    <w:p>
      <w:pPr>
        <w:pStyle w:val="59"/>
        <w:ind w:firstLine="420"/>
      </w:pPr>
      <w:r>
        <w:rPr>
          <w:rFonts w:hint="eastAsia"/>
        </w:rPr>
        <w:t>空气动力试验前应完成（具备）的条件如下：</w:t>
      </w:r>
    </w:p>
    <w:p>
      <w:pPr>
        <w:pStyle w:val="59"/>
        <w:ind w:firstLine="420"/>
      </w:pPr>
      <w:r>
        <w:rPr>
          <w:rFonts w:hint="eastAsia"/>
        </w:rPr>
        <w:t>——</w:t>
      </w:r>
      <w:r>
        <w:t>单级（或多级）湿蒸汽试验装置</w:t>
      </w:r>
      <w:r>
        <w:rPr>
          <w:rFonts w:hint="eastAsia"/>
        </w:rPr>
        <w:t>；</w:t>
      </w:r>
    </w:p>
    <w:p>
      <w:pPr>
        <w:pStyle w:val="59"/>
        <w:ind w:firstLine="420"/>
      </w:pPr>
      <w:r>
        <w:rPr>
          <w:rFonts w:hint="eastAsia"/>
        </w:rPr>
        <w:t>——</w:t>
      </w:r>
      <w:r>
        <w:t>满足试验要求的汽源，包括降压、增湿装置</w:t>
      </w:r>
      <w:r>
        <w:rPr>
          <w:rFonts w:hint="eastAsia"/>
        </w:rPr>
        <w:t>；</w:t>
      </w:r>
    </w:p>
    <w:p>
      <w:pPr>
        <w:pStyle w:val="59"/>
        <w:ind w:firstLine="420"/>
      </w:pPr>
      <w:r>
        <w:rPr>
          <w:rFonts w:hint="eastAsia"/>
        </w:rPr>
        <w:t>——</w:t>
      </w:r>
      <w:r>
        <w:t>满足全部试验要求的冷凝器及相应的冷却水装置</w:t>
      </w:r>
      <w:r>
        <w:rPr>
          <w:rFonts w:hint="eastAsia"/>
        </w:rPr>
        <w:t>；</w:t>
      </w:r>
    </w:p>
    <w:p>
      <w:pPr>
        <w:pStyle w:val="59"/>
        <w:ind w:firstLine="420"/>
      </w:pPr>
      <w:r>
        <w:rPr>
          <w:rFonts w:hint="eastAsia"/>
        </w:rPr>
        <w:t>——</w:t>
      </w:r>
      <w:r>
        <w:t>相应的高精度测量装置（包括校正设备）</w:t>
      </w:r>
      <w:r>
        <w:rPr>
          <w:rFonts w:hint="eastAsia"/>
        </w:rPr>
        <w:t>；</w:t>
      </w:r>
    </w:p>
    <w:p>
      <w:pPr>
        <w:pStyle w:val="59"/>
        <w:ind w:firstLine="420"/>
      </w:pPr>
      <w:r>
        <w:rPr>
          <w:rFonts w:hint="eastAsia"/>
        </w:rPr>
        <w:t>——</w:t>
      </w:r>
      <w:r>
        <w:t>自动数据采集、处理及分析软件</w:t>
      </w:r>
      <w:r>
        <w:rPr>
          <w:rFonts w:hint="eastAsia"/>
        </w:rPr>
        <w:t>。</w:t>
      </w:r>
    </w:p>
    <w:p>
      <w:pPr>
        <w:pStyle w:val="108"/>
        <w:spacing w:before="120" w:after="120"/>
      </w:pPr>
      <w:bookmarkStart w:id="78" w:name="_Toc229388578"/>
      <w:r>
        <w:rPr>
          <w:rFonts w:hint="eastAsia"/>
        </w:rPr>
        <w:t>数据处理</w:t>
      </w:r>
      <w:bookmarkEnd w:id="78"/>
    </w:p>
    <w:p>
      <w:pPr>
        <w:pStyle w:val="59"/>
        <w:ind w:firstLine="420"/>
      </w:pPr>
      <w:r>
        <w:t>整理数据，获得试验级气动性能曲线，形成总结报告。</w:t>
      </w:r>
    </w:p>
    <w:p>
      <w:pPr>
        <w:pStyle w:val="107"/>
        <w:spacing w:before="240" w:after="240"/>
      </w:pPr>
      <w:bookmarkStart w:id="79" w:name="_Toc229388579"/>
      <w:r>
        <w:t>末级长叶片动应力实测试验</w:t>
      </w:r>
      <w:bookmarkEnd w:id="79"/>
    </w:p>
    <w:p>
      <w:pPr>
        <w:pStyle w:val="108"/>
        <w:spacing w:before="120" w:after="120"/>
      </w:pPr>
      <w:bookmarkStart w:id="80" w:name="_Toc229388580"/>
      <w:r>
        <w:t>试验和验证的内容</w:t>
      </w:r>
      <w:bookmarkEnd w:id="80"/>
    </w:p>
    <w:p>
      <w:pPr>
        <w:pStyle w:val="59"/>
        <w:ind w:firstLine="420"/>
      </w:pPr>
      <w:r>
        <w:t>测量模型叶片在各种气动中动应力。不同背压变容积容量下动应力变化规律（曲线）。</w:t>
      </w:r>
    </w:p>
    <w:p>
      <w:pPr>
        <w:pStyle w:val="108"/>
        <w:spacing w:before="120" w:after="120"/>
      </w:pPr>
      <w:bookmarkStart w:id="81" w:name="_Toc229388581"/>
      <w:r>
        <w:t>试验和验证的方法</w:t>
      </w:r>
      <w:bookmarkEnd w:id="81"/>
    </w:p>
    <w:p>
      <w:pPr>
        <w:pStyle w:val="168"/>
      </w:pPr>
      <w:r>
        <w:t>具有按一定模化比设计蒸汽流量的旋转试验台。并将试验用叶片安置在该试验台上，旋转到工作转速，通过模化设计的蒸汽流量，即可测量模型叶片的动应力。</w:t>
      </w:r>
    </w:p>
    <w:p>
      <w:pPr>
        <w:pStyle w:val="168"/>
      </w:pPr>
      <w:r>
        <w:t>测试系统可以用“无线电遥测”法，有条件</w:t>
      </w:r>
      <w:r>
        <w:rPr>
          <w:rFonts w:hint="eastAsia"/>
        </w:rPr>
        <w:t>时宜</w:t>
      </w:r>
      <w:r>
        <w:t>使用“集流器测量”法。在测试系统校核（标定）中，应增加“动应力标定”一项。进行动应力标定除利用仪表自身的标定功能外，还可以通过激振标准梁作为原始信号来实现。</w:t>
      </w:r>
    </w:p>
    <w:p>
      <w:pPr>
        <w:pStyle w:val="168"/>
      </w:pPr>
      <w:r>
        <w:t>对测试系统的准确性：根据试验前进行的应力标定结果、或是由计量单位出具的校验证书进行测量系统可信度的评判。</w:t>
      </w:r>
    </w:p>
    <w:p>
      <w:pPr>
        <w:pStyle w:val="108"/>
        <w:spacing w:before="120" w:after="120"/>
      </w:pPr>
      <w:bookmarkStart w:id="82" w:name="_Toc229388582"/>
      <w:r>
        <w:t>试验和验证的条件</w:t>
      </w:r>
      <w:bookmarkEnd w:id="82"/>
    </w:p>
    <w:p>
      <w:pPr>
        <w:pStyle w:val="59"/>
        <w:ind w:firstLine="420"/>
      </w:pPr>
      <w:r>
        <w:rPr>
          <w:rFonts w:hint="eastAsia"/>
        </w:rPr>
        <w:t>动应力实测试验前应完成（具备）的条件如下：</w:t>
      </w:r>
    </w:p>
    <w:p>
      <w:pPr>
        <w:pStyle w:val="59"/>
        <w:ind w:firstLine="420"/>
      </w:pPr>
      <w:r>
        <w:rPr>
          <w:rFonts w:hint="eastAsia"/>
        </w:rPr>
        <w:t>——</w:t>
      </w:r>
      <w:r>
        <w:t>单级（或多级）湿蒸汽试验装置；</w:t>
      </w:r>
    </w:p>
    <w:p>
      <w:pPr>
        <w:pStyle w:val="59"/>
        <w:ind w:firstLine="420"/>
      </w:pPr>
      <w:r>
        <w:rPr>
          <w:rFonts w:hint="eastAsia"/>
        </w:rPr>
        <w:t>——</w:t>
      </w:r>
      <w:r>
        <w:t>满足试验要求的汽源，包括降压、增湿装置；</w:t>
      </w:r>
    </w:p>
    <w:p>
      <w:pPr>
        <w:pStyle w:val="59"/>
        <w:ind w:firstLine="420"/>
      </w:pPr>
      <w:r>
        <w:rPr>
          <w:rFonts w:hint="eastAsia"/>
        </w:rPr>
        <w:t>——</w:t>
      </w:r>
      <w:r>
        <w:t>满足全部试验要求的冷凝器及相应的冷却水装置；</w:t>
      </w:r>
    </w:p>
    <w:p>
      <w:pPr>
        <w:pStyle w:val="59"/>
        <w:ind w:firstLine="420"/>
      </w:pPr>
      <w:r>
        <w:rPr>
          <w:rFonts w:hint="eastAsia"/>
        </w:rPr>
        <w:t>——</w:t>
      </w:r>
      <w:r>
        <w:t>相应的高精度测量装置（包括校正设备）；</w:t>
      </w:r>
    </w:p>
    <w:p>
      <w:pPr>
        <w:pStyle w:val="59"/>
        <w:ind w:firstLine="420"/>
      </w:pPr>
      <w:r>
        <w:rPr>
          <w:rFonts w:hint="eastAsia"/>
        </w:rPr>
        <w:t>——</w:t>
      </w:r>
      <w:r>
        <w:t>自动数据采集、处理及分析软件。</w:t>
      </w:r>
    </w:p>
    <w:p>
      <w:pPr>
        <w:pStyle w:val="108"/>
        <w:spacing w:before="120" w:after="120"/>
      </w:pPr>
      <w:bookmarkStart w:id="83" w:name="_Toc229388583"/>
      <w:r>
        <w:rPr>
          <w:rFonts w:hint="eastAsia"/>
        </w:rPr>
        <w:t>数据处理</w:t>
      </w:r>
      <w:bookmarkEnd w:id="83"/>
    </w:p>
    <w:p>
      <w:pPr>
        <w:pStyle w:val="59"/>
        <w:ind w:firstLine="420"/>
      </w:pPr>
      <w:r>
        <w:t>整理数据，获得叶片动应力曲线，形成总结报告。</w:t>
      </w:r>
    </w:p>
    <w:bookmarkEnd w:id="24"/>
    <w:p>
      <w:pPr>
        <w:pStyle w:val="59"/>
        <w:ind w:firstLine="0" w:firstLineChars="0"/>
        <w:jc w:val="center"/>
      </w:pPr>
      <w:bookmarkStart w:id="84" w:name="BookMark8"/>
      <w:r>
        <w:rPr>
          <w:rFonts w:hint="eastAsia"/>
        </w:rPr>
        <w:drawing>
          <wp:inline distT="0" distB="0" distL="0" distR="0">
            <wp:extent cx="1485900" cy="317500"/>
            <wp:effectExtent l="0" t="0" r="0" b="6350"/>
            <wp:docPr id="509342285" name="图片 35"/>
            <wp:cNvGraphicFramePr/>
            <a:graphic xmlns:a="http://schemas.openxmlformats.org/drawingml/2006/main">
              <a:graphicData uri="http://schemas.openxmlformats.org/drawingml/2006/picture">
                <pic:pic xmlns:pic="http://schemas.openxmlformats.org/drawingml/2006/picture">
                  <pic:nvPicPr>
                    <pic:cNvPr id="509342285" name="图片 35"/>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4"/>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等线">
    <w:altName w:val="Arial Unicode MS"/>
    <w:panose1 w:val="00000000000000000000"/>
    <w:charset w:val="00"/>
    <w:family w:val="auto"/>
    <w:pitch w:val="default"/>
    <w:sig w:usb0="00000000" w:usb1="00000000" w:usb2="00000000" w:usb3="00000000" w:csb0="00000000" w:csb1="00000000"/>
  </w:font>
  <w:font w:name="Batang">
    <w:panose1 w:val="0203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rPr>
        <w:rFonts w:hint="eastAsia"/>
      </w:rPr>
      <w:t>T/XXX 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t>T/XXX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vanish/>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vanish/>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7E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0A3"/>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397"/>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57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22C"/>
    <w:rsid w:val="001E1B6A"/>
    <w:rsid w:val="001E2484"/>
    <w:rsid w:val="001E3CC4"/>
    <w:rsid w:val="001E4882"/>
    <w:rsid w:val="001E73AB"/>
    <w:rsid w:val="001F092D"/>
    <w:rsid w:val="001F143A"/>
    <w:rsid w:val="001F1605"/>
    <w:rsid w:val="001F2508"/>
    <w:rsid w:val="001F2D82"/>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55FF"/>
    <w:rsid w:val="0026148A"/>
    <w:rsid w:val="00262696"/>
    <w:rsid w:val="00263D25"/>
    <w:rsid w:val="002643C3"/>
    <w:rsid w:val="002645FA"/>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24CA"/>
    <w:rsid w:val="002D42B5"/>
    <w:rsid w:val="002D4F1A"/>
    <w:rsid w:val="002D6EC6"/>
    <w:rsid w:val="002D79AC"/>
    <w:rsid w:val="002E039D"/>
    <w:rsid w:val="002E4D5A"/>
    <w:rsid w:val="002E6326"/>
    <w:rsid w:val="002F30E0"/>
    <w:rsid w:val="002F35E4"/>
    <w:rsid w:val="002F3730"/>
    <w:rsid w:val="002F38E1"/>
    <w:rsid w:val="002F7AF6"/>
    <w:rsid w:val="00300E63"/>
    <w:rsid w:val="00300ED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14F9"/>
    <w:rsid w:val="00352C83"/>
    <w:rsid w:val="00352F1A"/>
    <w:rsid w:val="0036107C"/>
    <w:rsid w:val="003615D2"/>
    <w:rsid w:val="00362149"/>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1C04"/>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C77E5"/>
    <w:rsid w:val="003D0519"/>
    <w:rsid w:val="003D0FF6"/>
    <w:rsid w:val="003D262C"/>
    <w:rsid w:val="003D6D61"/>
    <w:rsid w:val="003E019F"/>
    <w:rsid w:val="003E091D"/>
    <w:rsid w:val="003E11F6"/>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389E"/>
    <w:rsid w:val="00454484"/>
    <w:rsid w:val="0045517B"/>
    <w:rsid w:val="0046238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1AC"/>
    <w:rsid w:val="004B0272"/>
    <w:rsid w:val="004B2701"/>
    <w:rsid w:val="004B2E1B"/>
    <w:rsid w:val="004B3AA8"/>
    <w:rsid w:val="004B3E93"/>
    <w:rsid w:val="004C1FBC"/>
    <w:rsid w:val="004C25A2"/>
    <w:rsid w:val="004C3F1D"/>
    <w:rsid w:val="004C458D"/>
    <w:rsid w:val="004C59D0"/>
    <w:rsid w:val="004C7556"/>
    <w:rsid w:val="004C7E8B"/>
    <w:rsid w:val="004C7E9D"/>
    <w:rsid w:val="004C7F67"/>
    <w:rsid w:val="004D076D"/>
    <w:rsid w:val="004D0EF1"/>
    <w:rsid w:val="004D2253"/>
    <w:rsid w:val="004D4406"/>
    <w:rsid w:val="004D658E"/>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C74F5"/>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5EB"/>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643A"/>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46B9C"/>
    <w:rsid w:val="0085173A"/>
    <w:rsid w:val="00855532"/>
    <w:rsid w:val="008603CE"/>
    <w:rsid w:val="008620FC"/>
    <w:rsid w:val="008627A5"/>
    <w:rsid w:val="00863E05"/>
    <w:rsid w:val="00865ACA"/>
    <w:rsid w:val="00865D28"/>
    <w:rsid w:val="00865F85"/>
    <w:rsid w:val="00867C10"/>
    <w:rsid w:val="00870439"/>
    <w:rsid w:val="00870DA1"/>
    <w:rsid w:val="00883F93"/>
    <w:rsid w:val="00884BEC"/>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1F35"/>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4FE2"/>
    <w:rsid w:val="00B156FD"/>
    <w:rsid w:val="00B21F61"/>
    <w:rsid w:val="00B261F1"/>
    <w:rsid w:val="00B265BC"/>
    <w:rsid w:val="00B27C7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4F4"/>
    <w:rsid w:val="00B60ACF"/>
    <w:rsid w:val="00B62B58"/>
    <w:rsid w:val="00B65149"/>
    <w:rsid w:val="00B66567"/>
    <w:rsid w:val="00B66F52"/>
    <w:rsid w:val="00B66FE5"/>
    <w:rsid w:val="00B72880"/>
    <w:rsid w:val="00B758BF"/>
    <w:rsid w:val="00B77EC8"/>
    <w:rsid w:val="00B827A6"/>
    <w:rsid w:val="00B831CE"/>
    <w:rsid w:val="00B86677"/>
    <w:rsid w:val="00B87131"/>
    <w:rsid w:val="00B907A6"/>
    <w:rsid w:val="00B939B1"/>
    <w:rsid w:val="00B96D40"/>
    <w:rsid w:val="00B97386"/>
    <w:rsid w:val="00BA263B"/>
    <w:rsid w:val="00BA2F0F"/>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6924"/>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3DFC"/>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57ACD"/>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3B66"/>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113"/>
    <w:rsid w:val="00DC5B90"/>
    <w:rsid w:val="00DD00FF"/>
    <w:rsid w:val="00DD0619"/>
    <w:rsid w:val="00DD07FB"/>
    <w:rsid w:val="00DD25C6"/>
    <w:rsid w:val="00DD4FE5"/>
    <w:rsid w:val="00DD54B0"/>
    <w:rsid w:val="00DD57EE"/>
    <w:rsid w:val="00DD6BCC"/>
    <w:rsid w:val="00DD743E"/>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2A71"/>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357E"/>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2747"/>
    <w:rsid w:val="00FE3901"/>
    <w:rsid w:val="00FE39D3"/>
    <w:rsid w:val="00FE4BCE"/>
    <w:rsid w:val="00FE54AE"/>
    <w:rsid w:val="00FE576A"/>
    <w:rsid w:val="00FE7E79"/>
    <w:rsid w:val="00FF3E7D"/>
    <w:rsid w:val="00FF5B99"/>
    <w:rsid w:val="00FF730C"/>
    <w:rsid w:val="00FF73F4"/>
    <w:rsid w:val="00FF7CE4"/>
    <w:rsid w:val="00FF7E39"/>
    <w:rsid w:val="01444DB9"/>
    <w:rsid w:val="0F266509"/>
    <w:rsid w:val="103A3FBE"/>
    <w:rsid w:val="14DC55BB"/>
    <w:rsid w:val="190073F7"/>
    <w:rsid w:val="45FE13AA"/>
    <w:rsid w:val="47EF6F8B"/>
    <w:rsid w:val="4BE67E16"/>
    <w:rsid w:val="53AD1097"/>
    <w:rsid w:val="616A13D4"/>
    <w:rsid w:val="63DF346C"/>
    <w:rsid w:val="65415B1E"/>
    <w:rsid w:val="AFFEAB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5"/>
    <w:semiHidden/>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6"/>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ind w:left="0" w:firstLine="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ind w:left="0" w:firstLine="200"/>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ind w:left="783"/>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left="1271" w:hanging="420" w:firstLineChars="0"/>
    </w:pPr>
  </w:style>
  <w:style w:type="paragraph" w:customStyle="1" w:styleId="191">
    <w:name w:val="标准文件_三级项2"/>
    <w:basedOn w:val="59"/>
    <w:qFormat/>
    <w:uiPriority w:val="0"/>
    <w:pPr>
      <w:numPr>
        <w:ilvl w:val="0"/>
        <w:numId w:val="30"/>
      </w:numPr>
      <w:spacing w:line="300" w:lineRule="exact"/>
      <w:ind w:left="1276" w:hanging="425" w:firstLineChars="0"/>
    </w:pPr>
    <w:rPr>
      <w:rFonts w:ascii="Times New Roman"/>
    </w:rPr>
  </w:style>
  <w:style w:type="paragraph" w:customStyle="1" w:styleId="192">
    <w:name w:val="标准文件_一级项2"/>
    <w:basedOn w:val="59"/>
    <w:qFormat/>
    <w:uiPriority w:val="0"/>
    <w:pPr>
      <w:numPr>
        <w:ilvl w:val="0"/>
        <w:numId w:val="31"/>
      </w:numPr>
      <w:spacing w:line="300" w:lineRule="exact"/>
      <w:ind w:left="1271" w:hanging="420"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段"/>
    <w:basedOn w:val="1"/>
    <w:qFormat/>
    <w:uiPriority w:val="0"/>
    <w:pPr>
      <w:widowControl/>
      <w:tabs>
        <w:tab w:val="center" w:pos="4201"/>
        <w:tab w:val="right" w:leader="dot" w:pos="9298"/>
      </w:tabs>
      <w:autoSpaceDE w:val="0"/>
      <w:autoSpaceDN w:val="0"/>
      <w:adjustRightInd/>
      <w:spacing w:line="240" w:lineRule="auto"/>
      <w:ind w:firstLine="420" w:firstLineChars="200"/>
    </w:pPr>
    <w:rPr>
      <w:rFonts w:ascii="宋体" w:hAnsi="宋体" w:cs="宋体"/>
      <w:kern w:val="0"/>
    </w:rPr>
  </w:style>
  <w:style w:type="paragraph" w:customStyle="1" w:styleId="234">
    <w:name w:val="修订1"/>
    <w:hidden/>
    <w:unhideWhenUsed/>
    <w:qFormat/>
    <w:uiPriority w:val="99"/>
    <w:rPr>
      <w:rFonts w:ascii="Calibri" w:hAnsi="Calibri" w:eastAsia="宋体" w:cs="Times New Roman"/>
      <w:kern w:val="2"/>
      <w:sz w:val="21"/>
      <w:szCs w:val="21"/>
      <w:lang w:val="en-US" w:eastAsia="zh-CN" w:bidi="ar-SA"/>
    </w:rPr>
  </w:style>
  <w:style w:type="character" w:customStyle="1" w:styleId="235">
    <w:name w:val="批注文字 字符"/>
    <w:basedOn w:val="30"/>
    <w:link w:val="13"/>
    <w:semiHidden/>
    <w:qFormat/>
    <w:uiPriority w:val="99"/>
    <w:rPr>
      <w:kern w:val="2"/>
      <w:sz w:val="21"/>
      <w:szCs w:val="21"/>
    </w:rPr>
  </w:style>
  <w:style w:type="character" w:customStyle="1" w:styleId="236">
    <w:name w:val="批注主题 字符"/>
    <w:basedOn w:val="235"/>
    <w:link w:val="27"/>
    <w:semiHidden/>
    <w:qFormat/>
    <w:uiPriority w:val="99"/>
    <w:rPr>
      <w:b/>
      <w:bCs/>
      <w:kern w:val="2"/>
      <w:sz w:val="21"/>
      <w:szCs w:val="21"/>
    </w:rPr>
  </w:style>
  <w:style w:type="paragraph" w:customStyle="1" w:styleId="237">
    <w:name w:val="Revision"/>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9.jpeg"/><Relationship Id="rId22" Type="http://schemas.openxmlformats.org/officeDocument/2006/relationships/image" Target="media/image8.png"/><Relationship Id="rId21" Type="http://schemas.openxmlformats.org/officeDocument/2006/relationships/image" Target="media/image7.png"/><Relationship Id="rId20" Type="http://schemas.openxmlformats.org/officeDocument/2006/relationships/image" Target="media/image6.png"/><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pn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M23128/C:\Program%20Files%20(x86)\StandardSmartEditor\template\A05)%20&#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4CB31FE6D7A4005A36ABADAB94B6F58"/>
        <w:style w:val=""/>
        <w:category>
          <w:name w:val="常规"/>
          <w:gallery w:val="placeholder"/>
        </w:category>
        <w:types>
          <w:type w:val="bbPlcHdr"/>
        </w:types>
        <w:behaviors>
          <w:behavior w:val="content"/>
        </w:behaviors>
        <w:description w:val=""/>
        <w:guid w:val="{9A5BC47F-AEC7-4487-A3A4-EF8728AE7952}"/>
      </w:docPartPr>
      <w:docPartBody>
        <w:p>
          <w:pPr>
            <w:pStyle w:val="5"/>
          </w:pPr>
          <w:r>
            <w:rPr>
              <w:rStyle w:val="4"/>
              <w:rFonts w:hint="eastAsia"/>
            </w:rPr>
            <w:t>单击或点击此处输入文字。</w:t>
          </w:r>
        </w:p>
      </w:docPartBody>
    </w:docPart>
    <w:docPart>
      <w:docPartPr>
        <w:name w:val="34683E34F199400C94F8B7E40B2A5D54"/>
        <w:style w:val=""/>
        <w:category>
          <w:name w:val="常规"/>
          <w:gallery w:val="placeholder"/>
        </w:category>
        <w:types>
          <w:type w:val="bbPlcHdr"/>
        </w:types>
        <w:behaviors>
          <w:behavior w:val="content"/>
        </w:behaviors>
        <w:description w:val=""/>
        <w:guid w:val="{8A7FFEB8-683A-40DD-978B-78A4084A99A1}"/>
      </w:docPartPr>
      <w:docPartBody>
        <w:p>
          <w:pPr>
            <w:pStyle w:val="6"/>
          </w:pPr>
          <w:r>
            <w:rPr>
              <w:rStyle w:val="4"/>
              <w:rFonts w:hint="eastAsia"/>
            </w:rPr>
            <w:t>选择一项。</w:t>
          </w:r>
        </w:p>
      </w:docPartBody>
    </w:docPart>
    <w:docPart>
      <w:docPartPr>
        <w:name w:val="7C2F1B2FA2144C83929C456F3D8F25C0"/>
        <w:style w:val=""/>
        <w:category>
          <w:name w:val="常规"/>
          <w:gallery w:val="placeholder"/>
        </w:category>
        <w:types>
          <w:type w:val="bbPlcHdr"/>
        </w:types>
        <w:behaviors>
          <w:behavior w:val="content"/>
        </w:behaviors>
        <w:description w:val=""/>
        <w:guid w:val="{042F29E6-79D2-41FE-A84E-EE6B87E4A3BA}"/>
      </w:docPartPr>
      <w:docPartBody>
        <w:p>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1C9"/>
    <w:rsid w:val="00036121"/>
    <w:rsid w:val="0019674D"/>
    <w:rsid w:val="003D101E"/>
    <w:rsid w:val="0046238D"/>
    <w:rsid w:val="006A643A"/>
    <w:rsid w:val="0092468C"/>
    <w:rsid w:val="00971F35"/>
    <w:rsid w:val="00BC6190"/>
    <w:rsid w:val="00C41CB1"/>
    <w:rsid w:val="00E12A71"/>
    <w:rsid w:val="00E651C9"/>
    <w:rsid w:val="00F20A77"/>
    <w:rsid w:val="00F32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4CB31FE6D7A4005A36ABADAB94B6F58"/>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34683E34F199400C94F8B7E40B2A5D5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7C2F1B2FA2144C83929C456F3D8F25C0"/>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A05) 团体标准.dotx</Template>
  <Company>PCMI</Company>
  <Pages>9</Pages>
  <Words>952</Words>
  <Characters>5431</Characters>
  <Lines>45</Lines>
  <Paragraphs>12</Paragraphs>
  <TotalTime>0</TotalTime>
  <ScaleCrop>false</ScaleCrop>
  <LinksUpToDate>false</LinksUpToDate>
  <CharactersWithSpaces>6371</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2026-05-11T09:45:00Z</dcterms:created>
  <dc:creator>Administrator</dc:creator>
  <dc:description>&lt;config cover="true" show_menu="true" version="1.0.0" doctype="SDKXY"&gt;_x000d_
&lt;/config&gt;</dc:description>
  <cp:lastModifiedBy>M23128</cp:lastModifiedBy>
  <cp:lastPrinted>2021-02-02T16:22:00Z</cp:lastPrinted>
  <dcterms:modified xsi:type="dcterms:W3CDTF">2026-07-06T16:12:48Z</dcterms:modified>
  <dc:title>团体标准</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version">
    <vt:lpwstr>1.0.0</vt:lpwstr>
  </property>
  <property fmtid="{D5CDD505-2E9C-101B-9397-08002B2CF9AE}" pid="5" name="xmlname">
    <vt:lpwstr>A05) 团体标准</vt:lpwstr>
  </property>
  <property fmtid="{D5CDD505-2E9C-101B-9397-08002B2CF9AE}" pid="6" name="NSTD_CODE">
    <vt:lpwstr>GB/T-</vt:lpwstr>
  </property>
  <property fmtid="{D5CDD505-2E9C-101B-9397-08002B2CF9AE}" pid="7" name="OSTD_CODE">
    <vt:lpwstr>代替 GB/T-</vt:lpwstr>
  </property>
  <property fmtid="{D5CDD505-2E9C-101B-9397-08002B2CF9AE}" pid="8" name="flag_zhengwen">
    <vt:lpwstr>0</vt:lpwstr>
  </property>
  <property fmtid="{D5CDD505-2E9C-101B-9397-08002B2CF9AE}" pid="9" name="flag_fulu">
    <vt:lpwstr>0</vt:lpwstr>
  </property>
  <property fmtid="{D5CDD505-2E9C-101B-9397-08002B2CF9AE}" pid="10" name="flag_pic">
    <vt:lpwstr>False</vt:lpwstr>
  </property>
  <property fmtid="{D5CDD505-2E9C-101B-9397-08002B2CF9AE}" pid="11" name="flag_tab">
    <vt:lpwstr>false</vt:lpwstr>
  </property>
  <property fmtid="{D5CDD505-2E9C-101B-9397-08002B2CF9AE}" pid="12" name="NumList">
    <vt:lpwstr>false</vt:lpwstr>
  </property>
  <property fmtid="{D5CDD505-2E9C-101B-9397-08002B2CF9AE}" pid="13" name="StandardSmartEditorShow_Menu">
    <vt:lpwstr>true</vt:lpwstr>
  </property>
  <property fmtid="{D5CDD505-2E9C-101B-9397-08002B2CF9AE}" pid="14" name="KSOTemplateDocerSaveRecord">
    <vt:lpwstr>eyJoZGlkIjoiYjkzZmQ0MmU5NDVjNjVjY2Y0NTc5Y2E1ZTYyMDExNjEiLCJ1c2VySWQiOiI1NjAzNzQzOTEifQ==</vt:lpwstr>
  </property>
  <property fmtid="{D5CDD505-2E9C-101B-9397-08002B2CF9AE}" pid="15" name="KSOProductBuildVer">
    <vt:lpwstr>2052-11.8.2.11764</vt:lpwstr>
  </property>
  <property fmtid="{D5CDD505-2E9C-101B-9397-08002B2CF9AE}" pid="16" name="ICV">
    <vt:lpwstr>1C6B144119944127AB5E292BD8BFF8A3_12</vt:lpwstr>
  </property>
</Properties>
</file>